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1" w:rsidRDefault="00FF4881" w:rsidP="00FF4881"/>
    <w:p w:rsidR="00FF4881" w:rsidRDefault="00FF4881" w:rsidP="00FF4881"/>
    <w:p w:rsidR="00FF4881" w:rsidRDefault="00FF4881" w:rsidP="00FF4881"/>
    <w:p w:rsidR="00FF4881" w:rsidRDefault="00DA4368" w:rsidP="00FF4881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-253365</wp:posOffset>
            </wp:positionV>
            <wp:extent cx="1846580" cy="1617980"/>
            <wp:effectExtent l="19050" t="0" r="1270" b="0"/>
            <wp:wrapSquare wrapText="bothSides"/>
            <wp:docPr id="17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81" w:rsidRPr="00E77D3A" w:rsidRDefault="00FF4881" w:rsidP="00FF4881">
      <w:pPr>
        <w:jc w:val="center"/>
        <w:rPr>
          <w:b/>
          <w:sz w:val="40"/>
          <w:szCs w:val="40"/>
        </w:rPr>
      </w:pPr>
      <w:r w:rsidRPr="00E77D3A">
        <w:rPr>
          <w:b/>
          <w:sz w:val="40"/>
          <w:szCs w:val="40"/>
        </w:rPr>
        <w:t>РЕПУБЛИКА БЪЛГАРИЯ</w:t>
      </w:r>
    </w:p>
    <w:p w:rsidR="00FF4881" w:rsidRPr="00E77D3A" w:rsidRDefault="00FF4881" w:rsidP="00FF4881">
      <w:pPr>
        <w:jc w:val="center"/>
        <w:rPr>
          <w:b/>
          <w:sz w:val="40"/>
          <w:szCs w:val="40"/>
          <w:u w:val="single"/>
        </w:rPr>
      </w:pPr>
      <w:r w:rsidRPr="00E77D3A">
        <w:rPr>
          <w:b/>
          <w:sz w:val="40"/>
          <w:szCs w:val="40"/>
          <w:u w:val="single"/>
        </w:rPr>
        <w:t>ВИСШ АДВОКАТСКИ СЪВЕТ</w:t>
      </w:r>
    </w:p>
    <w:p w:rsidR="00FF4881" w:rsidRDefault="00FF4881" w:rsidP="00FF4881">
      <w:pPr>
        <w:jc w:val="center"/>
      </w:pPr>
      <w:r>
        <w:t xml:space="preserve">ул. „Цар </w:t>
      </w:r>
      <w:r w:rsidRPr="00020CCA">
        <w:t>Калоян</w:t>
      </w:r>
      <w:r>
        <w:t xml:space="preserve">” № </w:t>
      </w:r>
      <w:r w:rsidRPr="00020CCA">
        <w:rPr>
          <w:lang w:val="en-US"/>
        </w:rPr>
        <w:t>1</w:t>
      </w:r>
      <w:r>
        <w:t>-а, 1000 София, тел. 986-28-61</w:t>
      </w:r>
      <w:r w:rsidRPr="00020CCA">
        <w:t>,</w:t>
      </w:r>
      <w:r>
        <w:t xml:space="preserve"> </w:t>
      </w:r>
      <w:r w:rsidRPr="00020CCA">
        <w:t xml:space="preserve">987-55-13, </w:t>
      </w:r>
    </w:p>
    <w:p w:rsidR="00FF4881" w:rsidRPr="008904CB" w:rsidRDefault="00FF4881" w:rsidP="00FF4881">
      <w:pPr>
        <w:jc w:val="center"/>
        <w:rPr>
          <w:lang w:val="en-US"/>
        </w:rPr>
      </w:pPr>
      <w:r w:rsidRPr="00020CCA">
        <w:t>факс 987-65-14,</w:t>
      </w:r>
      <w:r>
        <w:t xml:space="preserve"> </w:t>
      </w:r>
      <w:hyperlink r:id="rId8" w:history="1">
        <w:r w:rsidR="008904CB" w:rsidRPr="00CC58B8">
          <w:rPr>
            <w:rStyle w:val="Hyperlink"/>
            <w:lang w:val="en-US"/>
          </w:rPr>
          <w:t>e-mail: arch@vas.bg</w:t>
        </w:r>
      </w:hyperlink>
    </w:p>
    <w:p w:rsidR="00FF4881" w:rsidRDefault="00FF4881" w:rsidP="00FF4881">
      <w:pPr>
        <w:jc w:val="center"/>
        <w:rPr>
          <w:u w:val="single"/>
          <w:lang w:val="en-US"/>
        </w:rPr>
      </w:pPr>
    </w:p>
    <w:p w:rsidR="00FF4881" w:rsidRDefault="00FF4881" w:rsidP="00FF4881">
      <w:pPr>
        <w:rPr>
          <w:u w:val="single"/>
        </w:rPr>
      </w:pPr>
    </w:p>
    <w:p w:rsidR="00FF4881" w:rsidRDefault="00FF4881" w:rsidP="00FF4881">
      <w:pPr>
        <w:jc w:val="both"/>
        <w:rPr>
          <w:szCs w:val="28"/>
        </w:rPr>
      </w:pPr>
    </w:p>
    <w:p w:rsidR="00FF4881" w:rsidRPr="008904CB" w:rsidRDefault="00FF4881" w:rsidP="00FF4881">
      <w:pPr>
        <w:jc w:val="both"/>
        <w:rPr>
          <w:sz w:val="28"/>
          <w:szCs w:val="28"/>
          <w:lang w:val="en-US"/>
        </w:rPr>
      </w:pPr>
      <w:r w:rsidRPr="00E77D3A">
        <w:rPr>
          <w:sz w:val="28"/>
          <w:szCs w:val="28"/>
        </w:rPr>
        <w:t>Изх.</w:t>
      </w:r>
      <w:r w:rsidRPr="00E77D3A">
        <w:rPr>
          <w:sz w:val="28"/>
          <w:szCs w:val="28"/>
          <w:lang w:val="en-US"/>
        </w:rPr>
        <w:t xml:space="preserve"> </w:t>
      </w:r>
      <w:r w:rsidRPr="00E77D3A">
        <w:rPr>
          <w:sz w:val="28"/>
          <w:szCs w:val="28"/>
        </w:rPr>
        <w:t>№..................</w:t>
      </w:r>
      <w:r w:rsidR="008904CB">
        <w:rPr>
          <w:sz w:val="28"/>
          <w:szCs w:val="28"/>
          <w:lang w:val="en-US"/>
        </w:rPr>
        <w:t>......</w:t>
      </w:r>
    </w:p>
    <w:p w:rsidR="00072332" w:rsidRDefault="00FF4881" w:rsidP="00FF4881">
      <w:pPr>
        <w:rPr>
          <w:sz w:val="28"/>
          <w:szCs w:val="28"/>
          <w:lang w:val="en-US"/>
        </w:rPr>
      </w:pPr>
      <w:r w:rsidRPr="00E77D3A">
        <w:rPr>
          <w:sz w:val="28"/>
          <w:szCs w:val="28"/>
        </w:rPr>
        <w:t>Дата....................201</w:t>
      </w:r>
      <w:r w:rsidR="008904CB">
        <w:rPr>
          <w:sz w:val="28"/>
          <w:szCs w:val="28"/>
          <w:lang w:val="en-US"/>
        </w:rPr>
        <w:t>5</w:t>
      </w:r>
      <w:r w:rsidRPr="00E77D3A">
        <w:rPr>
          <w:sz w:val="28"/>
          <w:szCs w:val="28"/>
        </w:rPr>
        <w:t xml:space="preserve"> г</w:t>
      </w:r>
    </w:p>
    <w:p w:rsidR="00072332" w:rsidRDefault="00072332" w:rsidP="00015C8A">
      <w:pPr>
        <w:ind w:left="3544" w:firstLine="56"/>
        <w:rPr>
          <w:b/>
          <w:sz w:val="28"/>
          <w:szCs w:val="28"/>
        </w:rPr>
      </w:pPr>
      <w:r w:rsidRPr="00072332">
        <w:rPr>
          <w:b/>
          <w:sz w:val="28"/>
          <w:szCs w:val="28"/>
        </w:rPr>
        <w:t>ДО</w:t>
      </w:r>
    </w:p>
    <w:p w:rsidR="003513AC" w:rsidRDefault="003513AC" w:rsidP="00015C8A">
      <w:pPr>
        <w:ind w:left="3544" w:firstLine="56"/>
        <w:rPr>
          <w:b/>
          <w:sz w:val="28"/>
          <w:szCs w:val="28"/>
        </w:rPr>
      </w:pPr>
      <w:r w:rsidRPr="00072332">
        <w:rPr>
          <w:b/>
          <w:sz w:val="28"/>
          <w:szCs w:val="28"/>
        </w:rPr>
        <w:t>ОБЩО</w:t>
      </w:r>
      <w:r>
        <w:rPr>
          <w:b/>
          <w:sz w:val="28"/>
          <w:szCs w:val="28"/>
        </w:rPr>
        <w:t xml:space="preserve"> СЪБРАНИЕ </w:t>
      </w:r>
    </w:p>
    <w:p w:rsidR="00D34B40" w:rsidRDefault="003513AC" w:rsidP="00D34B40">
      <w:pPr>
        <w:ind w:left="3600"/>
        <w:rPr>
          <w:b/>
          <w:sz w:val="28"/>
          <w:szCs w:val="28"/>
        </w:rPr>
      </w:pPr>
      <w:r w:rsidRPr="00072332">
        <w:rPr>
          <w:b/>
          <w:sz w:val="28"/>
          <w:szCs w:val="28"/>
        </w:rPr>
        <w:t>НА</w:t>
      </w:r>
      <w:r w:rsidR="00D34B40">
        <w:rPr>
          <w:b/>
          <w:sz w:val="28"/>
          <w:szCs w:val="28"/>
        </w:rPr>
        <w:t xml:space="preserve"> </w:t>
      </w:r>
      <w:r w:rsidR="000E52DF">
        <w:rPr>
          <w:b/>
          <w:sz w:val="28"/>
          <w:szCs w:val="28"/>
        </w:rPr>
        <w:t>НАКАЗАТЕЛНАТА КОЛЕГИЯ</w:t>
      </w:r>
    </w:p>
    <w:p w:rsidR="00072332" w:rsidRPr="00D34B40" w:rsidRDefault="000E52DF" w:rsidP="00D34B40">
      <w:pPr>
        <w:ind w:left="360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</w:t>
      </w:r>
      <w:r w:rsidR="003513AC">
        <w:rPr>
          <w:b/>
          <w:sz w:val="28"/>
          <w:szCs w:val="28"/>
        </w:rPr>
        <w:t xml:space="preserve"> </w:t>
      </w:r>
      <w:r w:rsidR="00D34B40">
        <w:rPr>
          <w:b/>
          <w:sz w:val="28"/>
          <w:szCs w:val="28"/>
        </w:rPr>
        <w:t>ВЪРХОВЕН КАСАЦИОНЕН</w:t>
      </w:r>
      <w:r w:rsidR="00D34B40">
        <w:rPr>
          <w:b/>
          <w:sz w:val="28"/>
          <w:szCs w:val="28"/>
          <w:lang w:val="en-US"/>
        </w:rPr>
        <w:t xml:space="preserve"> </w:t>
      </w:r>
      <w:r w:rsidR="00072332" w:rsidRPr="00072332">
        <w:rPr>
          <w:b/>
          <w:sz w:val="28"/>
          <w:szCs w:val="28"/>
        </w:rPr>
        <w:t xml:space="preserve">СЪД </w:t>
      </w:r>
    </w:p>
    <w:p w:rsidR="00350472" w:rsidRDefault="00350472" w:rsidP="00876F62">
      <w:pPr>
        <w:rPr>
          <w:b/>
          <w:sz w:val="28"/>
          <w:szCs w:val="28"/>
        </w:rPr>
      </w:pPr>
    </w:p>
    <w:p w:rsidR="00015C8A" w:rsidRPr="00026A75" w:rsidRDefault="00015C8A" w:rsidP="00876F62">
      <w:pPr>
        <w:rPr>
          <w:b/>
          <w:sz w:val="28"/>
          <w:szCs w:val="28"/>
          <w:lang w:val="en-US"/>
        </w:rPr>
      </w:pPr>
    </w:p>
    <w:p w:rsidR="00072332" w:rsidRPr="002A0ABA" w:rsidRDefault="00072332" w:rsidP="00072332">
      <w:pPr>
        <w:ind w:left="708"/>
        <w:rPr>
          <w:sz w:val="26"/>
          <w:szCs w:val="28"/>
        </w:rPr>
      </w:pPr>
    </w:p>
    <w:p w:rsidR="00026A75" w:rsidRDefault="00072332" w:rsidP="00026A75">
      <w:pPr>
        <w:ind w:left="2880" w:firstLine="720"/>
        <w:rPr>
          <w:b/>
          <w:sz w:val="28"/>
          <w:szCs w:val="28"/>
          <w:lang w:val="en-US"/>
        </w:rPr>
      </w:pPr>
      <w:r w:rsidRPr="003513AC">
        <w:rPr>
          <w:b/>
          <w:sz w:val="28"/>
          <w:szCs w:val="28"/>
        </w:rPr>
        <w:t>С Т А Н О В И Щ Е</w:t>
      </w:r>
    </w:p>
    <w:p w:rsidR="00026A75" w:rsidRPr="00026A75" w:rsidRDefault="00026A75" w:rsidP="00026A75">
      <w:pPr>
        <w:ind w:left="2880" w:firstLine="720"/>
        <w:rPr>
          <w:b/>
          <w:sz w:val="28"/>
          <w:szCs w:val="28"/>
          <w:lang w:val="en-US"/>
        </w:rPr>
      </w:pPr>
    </w:p>
    <w:p w:rsidR="00026A75" w:rsidRPr="00026A75" w:rsidRDefault="00026A75" w:rsidP="00015C8A">
      <w:pPr>
        <w:ind w:left="2880" w:firstLine="720"/>
        <w:rPr>
          <w:b/>
          <w:sz w:val="28"/>
          <w:szCs w:val="28"/>
          <w:lang w:val="en-US"/>
        </w:rPr>
      </w:pPr>
    </w:p>
    <w:p w:rsidR="00350472" w:rsidRDefault="00350472" w:rsidP="00015C8A">
      <w:pPr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ВИСШИЯ АДВОКАТСКИ СЪВЕТ</w:t>
      </w:r>
      <w:r w:rsidR="00072332" w:rsidRPr="00072332">
        <w:rPr>
          <w:b/>
          <w:sz w:val="28"/>
          <w:szCs w:val="28"/>
        </w:rPr>
        <w:t xml:space="preserve"> </w:t>
      </w:r>
    </w:p>
    <w:p w:rsidR="00015C8A" w:rsidRDefault="00015C8A" w:rsidP="00350472">
      <w:pPr>
        <w:ind w:left="3540"/>
        <w:rPr>
          <w:b/>
          <w:sz w:val="28"/>
          <w:szCs w:val="28"/>
        </w:rPr>
      </w:pPr>
    </w:p>
    <w:p w:rsidR="00350472" w:rsidRPr="00350472" w:rsidRDefault="008904CB" w:rsidP="00015C8A">
      <w:pPr>
        <w:ind w:left="2880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тълкувателно дело № </w:t>
      </w:r>
      <w:r>
        <w:rPr>
          <w:b/>
          <w:sz w:val="28"/>
          <w:szCs w:val="28"/>
          <w:u w:val="single"/>
          <w:lang w:val="en-US"/>
        </w:rPr>
        <w:t xml:space="preserve">1 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en-US"/>
        </w:rPr>
        <w:t>5</w:t>
      </w:r>
      <w:r w:rsidR="00072332" w:rsidRPr="00350472">
        <w:rPr>
          <w:b/>
          <w:sz w:val="28"/>
          <w:szCs w:val="28"/>
          <w:u w:val="single"/>
        </w:rPr>
        <w:t xml:space="preserve"> г.</w:t>
      </w:r>
    </w:p>
    <w:p w:rsidR="00072332" w:rsidRPr="00876F62" w:rsidRDefault="00876F62" w:rsidP="00876F6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015C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187E" w:rsidRDefault="0023187E" w:rsidP="00072332">
      <w:pPr>
        <w:rPr>
          <w:b/>
          <w:sz w:val="26"/>
          <w:szCs w:val="28"/>
        </w:rPr>
      </w:pPr>
    </w:p>
    <w:p w:rsidR="008904CB" w:rsidRPr="008904CB" w:rsidRDefault="008904CB" w:rsidP="00072332">
      <w:pPr>
        <w:rPr>
          <w:b/>
          <w:sz w:val="26"/>
          <w:szCs w:val="28"/>
          <w:lang w:val="en-US"/>
        </w:rPr>
      </w:pPr>
    </w:p>
    <w:p w:rsidR="00072332" w:rsidRPr="002A0ABA" w:rsidRDefault="00072332" w:rsidP="00072332">
      <w:pPr>
        <w:rPr>
          <w:sz w:val="26"/>
          <w:szCs w:val="28"/>
        </w:rPr>
      </w:pPr>
    </w:p>
    <w:p w:rsidR="008904CB" w:rsidRPr="008904CB" w:rsidRDefault="008904CB" w:rsidP="008904CB">
      <w:pPr>
        <w:rPr>
          <w:b/>
          <w:sz w:val="28"/>
          <w:szCs w:val="28"/>
        </w:rPr>
      </w:pPr>
      <w:r w:rsidRPr="008904CB">
        <w:rPr>
          <w:b/>
          <w:sz w:val="28"/>
          <w:szCs w:val="28"/>
        </w:rPr>
        <w:t>УВАЖАЕМИ ГОСПОЖИ И ГОСПОДА ВЪРХОВНИ СЪДИИ,</w:t>
      </w:r>
    </w:p>
    <w:p w:rsidR="008904CB" w:rsidRDefault="008904CB" w:rsidP="008904CB">
      <w:pPr>
        <w:ind w:firstLine="851"/>
        <w:rPr>
          <w:sz w:val="28"/>
          <w:szCs w:val="28"/>
          <w:lang w:val="en-US"/>
        </w:rPr>
      </w:pPr>
    </w:p>
    <w:p w:rsidR="008904CB" w:rsidRPr="008904CB" w:rsidRDefault="008904CB" w:rsidP="008904CB">
      <w:pPr>
        <w:ind w:firstLine="720"/>
        <w:jc w:val="both"/>
        <w:rPr>
          <w:sz w:val="28"/>
          <w:szCs w:val="28"/>
        </w:rPr>
      </w:pPr>
      <w:r w:rsidRPr="008904CB">
        <w:rPr>
          <w:sz w:val="28"/>
          <w:szCs w:val="28"/>
        </w:rPr>
        <w:t xml:space="preserve">По поставения за тълкуване въпрос: </w:t>
      </w:r>
    </w:p>
    <w:p w:rsidR="008904CB" w:rsidRPr="008904CB" w:rsidRDefault="008904CB" w:rsidP="008904CB">
      <w:pPr>
        <w:ind w:firstLine="720"/>
        <w:jc w:val="both"/>
        <w:rPr>
          <w:b/>
          <w:sz w:val="28"/>
          <w:szCs w:val="28"/>
          <w:lang w:val="en-US"/>
        </w:rPr>
      </w:pPr>
      <w:r w:rsidRPr="008904CB">
        <w:rPr>
          <w:b/>
          <w:sz w:val="28"/>
          <w:szCs w:val="28"/>
        </w:rPr>
        <w:t>Всички дела ли за престъпления от общ характер, извършени от съдии, прокурори и следователи са подсъдни съгласно чл. 35, ал. 3 НПК на Софийския градски съд като първа инстанция или само тези, по които престъпленията от общ характер са извършени във връзка с функционалния имунитет на магистратите по чл. 132 от Конституцията на Република България</w:t>
      </w:r>
      <w:r w:rsidRPr="008904CB">
        <w:rPr>
          <w:b/>
          <w:sz w:val="28"/>
          <w:szCs w:val="28"/>
          <w:lang w:val="en-US"/>
        </w:rPr>
        <w:t>?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  <w:lang w:val="ru-RU"/>
        </w:rPr>
      </w:pPr>
      <w:proofErr w:type="spellStart"/>
      <w:r w:rsidRPr="008904CB">
        <w:rPr>
          <w:sz w:val="28"/>
          <w:szCs w:val="28"/>
          <w:lang w:val="ru-RU"/>
        </w:rPr>
        <w:t>Висшият</w:t>
      </w:r>
      <w:proofErr w:type="spellEnd"/>
      <w:r w:rsidRPr="008904CB">
        <w:rPr>
          <w:sz w:val="28"/>
          <w:szCs w:val="28"/>
          <w:lang w:val="ru-RU"/>
        </w:rPr>
        <w:t xml:space="preserve"> адвокатски </w:t>
      </w:r>
      <w:proofErr w:type="spellStart"/>
      <w:r w:rsidRPr="008904CB">
        <w:rPr>
          <w:sz w:val="28"/>
          <w:szCs w:val="28"/>
          <w:lang w:val="ru-RU"/>
        </w:rPr>
        <w:t>съвет</w:t>
      </w:r>
      <w:proofErr w:type="spellEnd"/>
      <w:r w:rsidRPr="008904CB">
        <w:rPr>
          <w:sz w:val="28"/>
          <w:szCs w:val="28"/>
          <w:lang w:val="ru-RU"/>
        </w:rPr>
        <w:t xml:space="preserve"> </w:t>
      </w:r>
      <w:proofErr w:type="spellStart"/>
      <w:r w:rsidRPr="008904CB">
        <w:rPr>
          <w:sz w:val="28"/>
          <w:szCs w:val="28"/>
          <w:lang w:val="ru-RU"/>
        </w:rPr>
        <w:t>изразява</w:t>
      </w:r>
      <w:proofErr w:type="spellEnd"/>
      <w:r w:rsidRPr="008904CB">
        <w:rPr>
          <w:sz w:val="28"/>
          <w:szCs w:val="28"/>
          <w:lang w:val="ru-RU"/>
        </w:rPr>
        <w:t xml:space="preserve"> </w:t>
      </w:r>
      <w:proofErr w:type="spellStart"/>
      <w:r w:rsidRPr="008904CB">
        <w:rPr>
          <w:sz w:val="28"/>
          <w:szCs w:val="28"/>
          <w:lang w:val="ru-RU"/>
        </w:rPr>
        <w:t>следното</w:t>
      </w:r>
      <w:proofErr w:type="spellEnd"/>
      <w:r w:rsidRPr="008904CB">
        <w:rPr>
          <w:sz w:val="28"/>
          <w:szCs w:val="28"/>
          <w:lang w:val="ru-RU"/>
        </w:rPr>
        <w:t xml:space="preserve"> становище. 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</w:rPr>
      </w:pPr>
      <w:r w:rsidRPr="008904CB">
        <w:rPr>
          <w:sz w:val="28"/>
          <w:szCs w:val="28"/>
        </w:rPr>
        <w:t xml:space="preserve">НПК, чл. 35, ал. 3, предвижда, че на Софийския градски съд са подсъдни делата срещу лица с имунитет. Недопустимо е да се стеснява действието на процесуалния закон по пътя на тълкуването на нормата на чл. 35, ал. 3 НПК.  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</w:rPr>
      </w:pPr>
      <w:r w:rsidRPr="008904CB">
        <w:rPr>
          <w:sz w:val="28"/>
          <w:szCs w:val="28"/>
        </w:rPr>
        <w:t xml:space="preserve">Законът не прави разграничение дали имунитетът е „пълен“ или „функционален“. С оглед на това е без значение дали магистратите имат пълна наказателна неприкосновеност, или само частична. Този въпрос е </w:t>
      </w:r>
      <w:r w:rsidRPr="008904CB">
        <w:rPr>
          <w:sz w:val="28"/>
          <w:szCs w:val="28"/>
        </w:rPr>
        <w:lastRenderedPageBreak/>
        <w:t xml:space="preserve">свързан с пределите на тяхната отговорност, а не с подсъдността на деянията. Подсъдността се определя винаги предварително и със закон и не може да се решава </w:t>
      </w:r>
      <w:proofErr w:type="spellStart"/>
      <w:r w:rsidRPr="008904CB">
        <w:rPr>
          <w:sz w:val="28"/>
          <w:szCs w:val="28"/>
        </w:rPr>
        <w:t>ad</w:t>
      </w:r>
      <w:proofErr w:type="spellEnd"/>
      <w:r w:rsidRPr="008904CB">
        <w:rPr>
          <w:sz w:val="28"/>
          <w:szCs w:val="28"/>
          <w:lang w:val="ru-RU"/>
        </w:rPr>
        <w:t xml:space="preserve"> </w:t>
      </w:r>
      <w:proofErr w:type="spellStart"/>
      <w:r w:rsidRPr="008904CB">
        <w:rPr>
          <w:sz w:val="28"/>
          <w:szCs w:val="28"/>
        </w:rPr>
        <w:t>hoc</w:t>
      </w:r>
      <w:proofErr w:type="spellEnd"/>
      <w:r w:rsidRPr="008904CB">
        <w:rPr>
          <w:sz w:val="28"/>
          <w:szCs w:val="28"/>
        </w:rPr>
        <w:t xml:space="preserve">. Това означава, че подсъдността трябва да е ясна изначално и не можа да зависи от преценката на решаващия съд. Напълно се споделя доводът, че обратното становище би означавало за всеки конкретен случай съдията-докладчик да преценява естеството на обвиненията, което е свързано със съществото на делото, и </w:t>
      </w:r>
      <w:proofErr w:type="spellStart"/>
      <w:r w:rsidRPr="008904CB">
        <w:rPr>
          <w:sz w:val="28"/>
          <w:szCs w:val="28"/>
        </w:rPr>
        <w:t>относимостта</w:t>
      </w:r>
      <w:proofErr w:type="spellEnd"/>
      <w:r w:rsidRPr="008904CB">
        <w:rPr>
          <w:sz w:val="28"/>
          <w:szCs w:val="28"/>
        </w:rPr>
        <w:t xml:space="preserve"> им към разпоредбата на чл. 132 от Конституцията, което би довело до различия при определяне на компетентния съд.  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</w:rPr>
      </w:pPr>
      <w:r w:rsidRPr="008904CB">
        <w:rPr>
          <w:sz w:val="28"/>
          <w:szCs w:val="28"/>
        </w:rPr>
        <w:t xml:space="preserve">Чл. 35, ал. 3 НПК не прави разграничения относно подсъдността по делата от общ характер, </w:t>
      </w:r>
      <w:proofErr w:type="spellStart"/>
      <w:r w:rsidRPr="008904CB">
        <w:rPr>
          <w:sz w:val="28"/>
          <w:szCs w:val="28"/>
        </w:rPr>
        <w:t>частнопубличен</w:t>
      </w:r>
      <w:proofErr w:type="spellEnd"/>
      <w:r w:rsidRPr="008904CB">
        <w:rPr>
          <w:sz w:val="28"/>
          <w:szCs w:val="28"/>
        </w:rPr>
        <w:t xml:space="preserve"> характер или частен характер. Това означава, че независимо от характера на производството компетентният съд ще бъде Софийският градски съд. 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</w:rPr>
      </w:pPr>
      <w:r w:rsidRPr="008904CB">
        <w:rPr>
          <w:sz w:val="28"/>
          <w:szCs w:val="28"/>
        </w:rPr>
        <w:t xml:space="preserve">Без значение е също дали лицето е със „свален“ имунитет или се съди за престъпление, за което няма имунитет, защото щом е допустимо съдене значи лицето няма имунитет – той е отпаднал поради изтичане на мандата или поради свалянето му. Затова предвидената в закона подсъдност се отнася както за лицата с „пълен“, така и за лицата с функционален имунитет – към момента на съденето имунитетът все едно не съществува. От значение за разпоредбата на чл. 35, ал. 3 НПК е качеството на субекта, а не видът на инкриминираното деяние или процедурата, по която то се съди. 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</w:rPr>
      </w:pPr>
      <w:r w:rsidRPr="008904CB">
        <w:rPr>
          <w:sz w:val="28"/>
          <w:szCs w:val="28"/>
        </w:rPr>
        <w:t>След като чл. 35, ал. 3 НПК не прави разграничение между видовете имунитет неоснователно е да се поддържа, че магистратите ще бъдат съдени от Софийския градски съд само за извършени престъпления свързани с осъществяване на съдебната власт, а другите техни деяния ще подлежат на разглеждане от общите съдилища. По същия начин законът не прави разграничения дали депутатът се съди за престъпление извършено в това му качество или за престъпление извършено независимо от това качество.</w:t>
      </w:r>
    </w:p>
    <w:p w:rsidR="008904CB" w:rsidRPr="008904CB" w:rsidRDefault="008904CB" w:rsidP="008904CB">
      <w:pPr>
        <w:ind w:firstLine="851"/>
        <w:jc w:val="both"/>
        <w:rPr>
          <w:sz w:val="28"/>
          <w:szCs w:val="28"/>
        </w:rPr>
      </w:pPr>
      <w:r w:rsidRPr="008904CB">
        <w:rPr>
          <w:sz w:val="28"/>
          <w:szCs w:val="28"/>
        </w:rPr>
        <w:t>Предвид гореизложеното Висшият адвокатски съвет счита, че:</w:t>
      </w:r>
    </w:p>
    <w:p w:rsidR="00072332" w:rsidRPr="008904CB" w:rsidRDefault="008904CB" w:rsidP="008904CB">
      <w:pPr>
        <w:ind w:firstLine="851"/>
        <w:jc w:val="both"/>
        <w:rPr>
          <w:sz w:val="28"/>
          <w:szCs w:val="28"/>
          <w:lang w:val="en-US"/>
        </w:rPr>
      </w:pPr>
      <w:r w:rsidRPr="008904CB">
        <w:rPr>
          <w:sz w:val="28"/>
          <w:szCs w:val="28"/>
        </w:rPr>
        <w:t>Всички дела за престъпления от общ характер, извършени от съдии, прокурори и следователи са подсъдни съгласно чл. 35, ал. 3 НПК на Софийския градски съд като първа инстанция, независимо дали престъпленията от общ характер са извършени във връзка с функционалния имунитет на магистратите по чл. 132 от Конституцията на Република България.</w:t>
      </w:r>
    </w:p>
    <w:p w:rsidR="008904CB" w:rsidRDefault="008904CB" w:rsidP="00072332">
      <w:pPr>
        <w:ind w:left="4320"/>
        <w:rPr>
          <w:b/>
          <w:sz w:val="28"/>
          <w:szCs w:val="28"/>
          <w:lang w:val="en-US"/>
        </w:rPr>
      </w:pPr>
    </w:p>
    <w:p w:rsidR="008904CB" w:rsidRDefault="008904CB" w:rsidP="00072332">
      <w:pPr>
        <w:ind w:left="4320"/>
        <w:rPr>
          <w:b/>
          <w:sz w:val="28"/>
          <w:szCs w:val="28"/>
          <w:lang w:val="en-US"/>
        </w:rPr>
      </w:pPr>
    </w:p>
    <w:p w:rsidR="008904CB" w:rsidRDefault="008904CB" w:rsidP="00072332">
      <w:pPr>
        <w:ind w:left="4320"/>
        <w:rPr>
          <w:b/>
          <w:sz w:val="28"/>
          <w:szCs w:val="28"/>
          <w:lang w:val="en-US"/>
        </w:rPr>
      </w:pPr>
    </w:p>
    <w:p w:rsidR="00072332" w:rsidRPr="008904CB" w:rsidRDefault="00072332" w:rsidP="00072332">
      <w:pPr>
        <w:ind w:left="4320"/>
        <w:rPr>
          <w:sz w:val="28"/>
          <w:szCs w:val="28"/>
        </w:rPr>
      </w:pPr>
      <w:r w:rsidRPr="008904CB">
        <w:rPr>
          <w:sz w:val="28"/>
          <w:szCs w:val="28"/>
        </w:rPr>
        <w:t>ПРЕДСЕДАТЕЛ НА ВИСШИЯ</w:t>
      </w:r>
    </w:p>
    <w:p w:rsidR="00072332" w:rsidRPr="008904CB" w:rsidRDefault="00072332" w:rsidP="008904CB">
      <w:pPr>
        <w:ind w:left="4320"/>
        <w:rPr>
          <w:sz w:val="28"/>
          <w:szCs w:val="28"/>
          <w:lang w:val="en-US"/>
        </w:rPr>
      </w:pPr>
      <w:r w:rsidRPr="008904CB">
        <w:rPr>
          <w:sz w:val="28"/>
          <w:szCs w:val="28"/>
        </w:rPr>
        <w:t>АДВОКАТСКИ СЪВЕТ:</w:t>
      </w:r>
    </w:p>
    <w:p w:rsidR="008904CB" w:rsidRPr="008904CB" w:rsidRDefault="008904CB" w:rsidP="008904CB">
      <w:pPr>
        <w:ind w:left="4320"/>
        <w:rPr>
          <w:sz w:val="28"/>
          <w:szCs w:val="28"/>
          <w:lang w:val="en-US"/>
        </w:rPr>
      </w:pPr>
    </w:p>
    <w:p w:rsidR="008904CB" w:rsidRPr="008904CB" w:rsidRDefault="008904CB" w:rsidP="008904CB">
      <w:pPr>
        <w:ind w:left="4320"/>
        <w:rPr>
          <w:sz w:val="28"/>
          <w:szCs w:val="28"/>
          <w:lang w:val="en-US"/>
        </w:rPr>
      </w:pPr>
    </w:p>
    <w:p w:rsidR="00FF4881" w:rsidRPr="008904CB" w:rsidRDefault="00072332" w:rsidP="000E52DF">
      <w:pPr>
        <w:ind w:left="4320"/>
        <w:rPr>
          <w:sz w:val="28"/>
          <w:szCs w:val="28"/>
        </w:rPr>
      </w:pPr>
      <w:r w:rsidRPr="008904CB">
        <w:rPr>
          <w:sz w:val="28"/>
          <w:szCs w:val="28"/>
        </w:rPr>
        <w:t xml:space="preserve">                   РАЛИЦА НЕГЕНЦОВА</w:t>
      </w:r>
    </w:p>
    <w:sectPr w:rsidR="00FF4881" w:rsidRPr="008904CB" w:rsidSect="008904CB">
      <w:pgSz w:w="11907" w:h="16839" w:code="9"/>
      <w:pgMar w:top="1134" w:right="1275" w:bottom="993" w:left="1276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F1" w:rsidRDefault="00AF57F1" w:rsidP="00072332">
      <w:r>
        <w:separator/>
      </w:r>
    </w:p>
  </w:endnote>
  <w:endnote w:type="continuationSeparator" w:id="0">
    <w:p w:rsidR="00AF57F1" w:rsidRDefault="00AF57F1" w:rsidP="0007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F1" w:rsidRDefault="00AF57F1" w:rsidP="00072332">
      <w:r>
        <w:separator/>
      </w:r>
    </w:p>
  </w:footnote>
  <w:footnote w:type="continuationSeparator" w:id="0">
    <w:p w:rsidR="00AF57F1" w:rsidRDefault="00AF57F1" w:rsidP="00072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4AB5A6"/>
    <w:lvl w:ilvl="0">
      <w:numFmt w:val="bullet"/>
      <w:lvlText w:val="*"/>
      <w:lvlJc w:val="left"/>
    </w:lvl>
  </w:abstractNum>
  <w:abstractNum w:abstractNumId="1">
    <w:nsid w:val="6A9B14A2"/>
    <w:multiLevelType w:val="hybridMultilevel"/>
    <w:tmpl w:val="6CB28B26"/>
    <w:lvl w:ilvl="0" w:tplc="BE427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7612532"/>
    <w:multiLevelType w:val="hybridMultilevel"/>
    <w:tmpl w:val="4D14567C"/>
    <w:lvl w:ilvl="0" w:tplc="2B1646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A8513A7"/>
    <w:multiLevelType w:val="hybridMultilevel"/>
    <w:tmpl w:val="E81C39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81"/>
    <w:rsid w:val="00003553"/>
    <w:rsid w:val="00015C8A"/>
    <w:rsid w:val="00026A75"/>
    <w:rsid w:val="00066776"/>
    <w:rsid w:val="00072332"/>
    <w:rsid w:val="000C41B2"/>
    <w:rsid w:val="000E52DF"/>
    <w:rsid w:val="000F3CEE"/>
    <w:rsid w:val="00131E0F"/>
    <w:rsid w:val="00186400"/>
    <w:rsid w:val="001F6AB8"/>
    <w:rsid w:val="0023187E"/>
    <w:rsid w:val="0023515B"/>
    <w:rsid w:val="00261CC4"/>
    <w:rsid w:val="002A61F0"/>
    <w:rsid w:val="002B59E4"/>
    <w:rsid w:val="002F6703"/>
    <w:rsid w:val="00350472"/>
    <w:rsid w:val="003513AC"/>
    <w:rsid w:val="0035237A"/>
    <w:rsid w:val="003A2600"/>
    <w:rsid w:val="003E2A37"/>
    <w:rsid w:val="0040696E"/>
    <w:rsid w:val="00446552"/>
    <w:rsid w:val="00451D9F"/>
    <w:rsid w:val="00482350"/>
    <w:rsid w:val="004B40B7"/>
    <w:rsid w:val="00501C73"/>
    <w:rsid w:val="00556A75"/>
    <w:rsid w:val="00591B14"/>
    <w:rsid w:val="005A6D10"/>
    <w:rsid w:val="005C4F25"/>
    <w:rsid w:val="005F6969"/>
    <w:rsid w:val="00637E8D"/>
    <w:rsid w:val="006C3380"/>
    <w:rsid w:val="007820F7"/>
    <w:rsid w:val="007A6025"/>
    <w:rsid w:val="007B7308"/>
    <w:rsid w:val="007F35ED"/>
    <w:rsid w:val="00876F62"/>
    <w:rsid w:val="008904CB"/>
    <w:rsid w:val="008E0761"/>
    <w:rsid w:val="008E21D7"/>
    <w:rsid w:val="008E48D7"/>
    <w:rsid w:val="0091684D"/>
    <w:rsid w:val="00930FF2"/>
    <w:rsid w:val="00934EAE"/>
    <w:rsid w:val="00952DB7"/>
    <w:rsid w:val="00962BD4"/>
    <w:rsid w:val="0096549E"/>
    <w:rsid w:val="009654CA"/>
    <w:rsid w:val="009D456A"/>
    <w:rsid w:val="00A22EEA"/>
    <w:rsid w:val="00A35610"/>
    <w:rsid w:val="00A3761A"/>
    <w:rsid w:val="00A839CC"/>
    <w:rsid w:val="00AC55B7"/>
    <w:rsid w:val="00AE4C4D"/>
    <w:rsid w:val="00AF290F"/>
    <w:rsid w:val="00AF438A"/>
    <w:rsid w:val="00AF5716"/>
    <w:rsid w:val="00AF57F1"/>
    <w:rsid w:val="00B065AA"/>
    <w:rsid w:val="00B14BDF"/>
    <w:rsid w:val="00B52701"/>
    <w:rsid w:val="00B57A2B"/>
    <w:rsid w:val="00B85275"/>
    <w:rsid w:val="00B96A71"/>
    <w:rsid w:val="00C17024"/>
    <w:rsid w:val="00C504CF"/>
    <w:rsid w:val="00C86A90"/>
    <w:rsid w:val="00CA77DC"/>
    <w:rsid w:val="00D20D88"/>
    <w:rsid w:val="00D34B40"/>
    <w:rsid w:val="00D54CAE"/>
    <w:rsid w:val="00D707CD"/>
    <w:rsid w:val="00DA4368"/>
    <w:rsid w:val="00DB3110"/>
    <w:rsid w:val="00DC49D0"/>
    <w:rsid w:val="00DD3A6E"/>
    <w:rsid w:val="00DE1925"/>
    <w:rsid w:val="00E13011"/>
    <w:rsid w:val="00E211E2"/>
    <w:rsid w:val="00E26356"/>
    <w:rsid w:val="00E544C5"/>
    <w:rsid w:val="00ED50FC"/>
    <w:rsid w:val="00EE2E8F"/>
    <w:rsid w:val="00EF5865"/>
    <w:rsid w:val="00F3387C"/>
    <w:rsid w:val="00F82F04"/>
    <w:rsid w:val="00F84298"/>
    <w:rsid w:val="00F86151"/>
    <w:rsid w:val="00F9177E"/>
    <w:rsid w:val="00FC58B7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81"/>
    <w:rPr>
      <w:rFonts w:eastAsia="Times New Roman"/>
      <w:lang w:val="bg-BG"/>
    </w:rPr>
  </w:style>
  <w:style w:type="paragraph" w:styleId="Heading3">
    <w:name w:val="heading 3"/>
    <w:basedOn w:val="Normal"/>
    <w:link w:val="Heading3Char"/>
    <w:uiPriority w:val="9"/>
    <w:qFormat/>
    <w:rsid w:val="00072332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488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72332"/>
    <w:rPr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072332"/>
    <w:rPr>
      <w:rFonts w:eastAsia="Times New Roman"/>
      <w:lang w:val="bg-BG" w:eastAsia="bg-BG"/>
    </w:rPr>
  </w:style>
  <w:style w:type="character" w:styleId="FootnoteReference">
    <w:name w:val="footnote reference"/>
    <w:basedOn w:val="DefaultParagraphFont"/>
    <w:semiHidden/>
    <w:rsid w:val="00072332"/>
    <w:rPr>
      <w:vertAlign w:val="superscript"/>
    </w:rPr>
  </w:style>
  <w:style w:type="paragraph" w:customStyle="1" w:styleId="Style1">
    <w:name w:val="Style1"/>
    <w:basedOn w:val="Normal"/>
    <w:uiPriority w:val="99"/>
    <w:rsid w:val="00072332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072332"/>
    <w:pPr>
      <w:widowControl w:val="0"/>
      <w:autoSpaceDE w:val="0"/>
      <w:autoSpaceDN w:val="0"/>
      <w:adjustRightInd w:val="0"/>
      <w:spacing w:line="259" w:lineRule="exact"/>
      <w:ind w:hanging="163"/>
    </w:pPr>
    <w:rPr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72332"/>
    <w:pPr>
      <w:widowControl w:val="0"/>
      <w:autoSpaceDE w:val="0"/>
      <w:autoSpaceDN w:val="0"/>
      <w:adjustRightInd w:val="0"/>
      <w:spacing w:line="260" w:lineRule="exact"/>
      <w:ind w:firstLine="178"/>
      <w:jc w:val="both"/>
    </w:pPr>
    <w:rPr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072332"/>
    <w:pPr>
      <w:widowControl w:val="0"/>
      <w:autoSpaceDE w:val="0"/>
      <w:autoSpaceDN w:val="0"/>
      <w:adjustRightInd w:val="0"/>
      <w:spacing w:line="259" w:lineRule="exact"/>
      <w:ind w:firstLine="173"/>
      <w:jc w:val="both"/>
    </w:pPr>
    <w:rPr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072332"/>
    <w:rPr>
      <w:rFonts w:ascii="Times New Roman" w:hAnsi="Times New Roman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72332"/>
    <w:rPr>
      <w:rFonts w:eastAsia="Times New Roman"/>
      <w:b/>
      <w:bCs/>
      <w:sz w:val="27"/>
      <w:szCs w:val="27"/>
      <w:lang w:val="bg-BG" w:eastAsia="bg-BG"/>
    </w:rPr>
  </w:style>
  <w:style w:type="character" w:styleId="Strong">
    <w:name w:val="Strong"/>
    <w:basedOn w:val="DefaultParagraphFont"/>
    <w:uiPriority w:val="22"/>
    <w:qFormat/>
    <w:rsid w:val="00072332"/>
    <w:rPr>
      <w:b/>
      <w:bCs/>
    </w:rPr>
  </w:style>
  <w:style w:type="paragraph" w:styleId="NoSpacing">
    <w:name w:val="No Spacing"/>
    <w:uiPriority w:val="1"/>
    <w:qFormat/>
    <w:rsid w:val="007A6025"/>
    <w:rPr>
      <w:rFonts w:eastAsia="Times New Roman"/>
      <w:lang w:val="bg-BG"/>
    </w:rPr>
  </w:style>
  <w:style w:type="character" w:customStyle="1" w:styleId="apple-converted-space">
    <w:name w:val="apple-converted-space"/>
    <w:basedOn w:val="DefaultParagraphFont"/>
    <w:rsid w:val="00C17024"/>
  </w:style>
  <w:style w:type="paragraph" w:styleId="NormalWeb">
    <w:name w:val="Normal (Web)"/>
    <w:basedOn w:val="Normal"/>
    <w:unhideWhenUsed/>
    <w:rsid w:val="00C17024"/>
    <w:pPr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arch@va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2015-02-17T07:25:00Z</cp:lastPrinted>
  <dcterms:created xsi:type="dcterms:W3CDTF">2015-02-17T09:21:00Z</dcterms:created>
  <dcterms:modified xsi:type="dcterms:W3CDTF">2015-02-17T09:21:00Z</dcterms:modified>
</cp:coreProperties>
</file>