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7" w:rsidRPr="000B450D" w:rsidRDefault="000B450D" w:rsidP="002871BA">
      <w:pPr>
        <w:jc w:val="both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2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757" w:rsidRPr="000B450D">
        <w:rPr>
          <w:b/>
          <w:sz w:val="40"/>
          <w:szCs w:val="40"/>
        </w:rPr>
        <w:t>РЕПУБЛИКА БЪЛГАРИЯ</w:t>
      </w:r>
    </w:p>
    <w:p w:rsidR="00122757" w:rsidRPr="000B450D" w:rsidRDefault="00122757" w:rsidP="002871BA">
      <w:pPr>
        <w:jc w:val="both"/>
        <w:rPr>
          <w:b/>
          <w:sz w:val="40"/>
          <w:szCs w:val="40"/>
          <w:u w:val="single"/>
        </w:rPr>
      </w:pPr>
      <w:r w:rsidRPr="000B450D">
        <w:rPr>
          <w:b/>
          <w:sz w:val="40"/>
          <w:szCs w:val="40"/>
          <w:u w:val="single"/>
        </w:rPr>
        <w:t>ВИСШ АДВОКАТСКИ СЪВЕТ</w:t>
      </w:r>
    </w:p>
    <w:p w:rsidR="00122757" w:rsidRPr="00F17257" w:rsidRDefault="00122757" w:rsidP="002871BA">
      <w:pPr>
        <w:jc w:val="both"/>
        <w:rPr>
          <w:sz w:val="25"/>
          <w:szCs w:val="18"/>
        </w:rPr>
      </w:pPr>
      <w:r w:rsidRPr="00F17257">
        <w:rPr>
          <w:sz w:val="25"/>
          <w:szCs w:val="18"/>
        </w:rPr>
        <w:t xml:space="preserve">ул. „Цар Калоян” № 1-а, 1000 София, тел. 986-28-61, 987-55-13, </w:t>
      </w:r>
    </w:p>
    <w:p w:rsidR="00122757" w:rsidRPr="00F17257" w:rsidRDefault="00122757" w:rsidP="002871BA">
      <w:pPr>
        <w:jc w:val="both"/>
        <w:rPr>
          <w:sz w:val="25"/>
          <w:szCs w:val="18"/>
        </w:rPr>
      </w:pPr>
      <w:r w:rsidRPr="00F17257">
        <w:rPr>
          <w:sz w:val="25"/>
          <w:szCs w:val="18"/>
        </w:rPr>
        <w:t xml:space="preserve">факс 987-65-14, </w:t>
      </w:r>
      <w:hyperlink r:id="rId8" w:history="1">
        <w:r w:rsidR="00054E9A" w:rsidRPr="009B1F6B">
          <w:rPr>
            <w:rStyle w:val="Hyperlink"/>
            <w:sz w:val="25"/>
            <w:szCs w:val="18"/>
            <w:lang w:val="en-US"/>
          </w:rPr>
          <w:t>e</w:t>
        </w:r>
        <w:r w:rsidR="00054E9A" w:rsidRPr="009B1F6B">
          <w:rPr>
            <w:rStyle w:val="Hyperlink"/>
            <w:sz w:val="25"/>
            <w:szCs w:val="18"/>
          </w:rPr>
          <w:t>-</w:t>
        </w:r>
        <w:r w:rsidR="00054E9A" w:rsidRPr="009B1F6B">
          <w:rPr>
            <w:rStyle w:val="Hyperlink"/>
            <w:sz w:val="25"/>
            <w:szCs w:val="18"/>
            <w:lang w:val="en-US"/>
          </w:rPr>
          <w:t>mail</w:t>
        </w:r>
        <w:r w:rsidR="00054E9A" w:rsidRPr="009B1F6B">
          <w:rPr>
            <w:rStyle w:val="Hyperlink"/>
            <w:sz w:val="25"/>
            <w:szCs w:val="18"/>
          </w:rPr>
          <w:t>:</w:t>
        </w:r>
        <w:r w:rsidR="00054E9A" w:rsidRPr="009B1F6B">
          <w:rPr>
            <w:rStyle w:val="Hyperlink"/>
            <w:sz w:val="25"/>
            <w:szCs w:val="18"/>
            <w:lang w:val="en-US"/>
          </w:rPr>
          <w:t xml:space="preserve"> arch</w:t>
        </w:r>
        <w:r w:rsidR="00054E9A" w:rsidRPr="009B1F6B">
          <w:rPr>
            <w:rStyle w:val="Hyperlink"/>
            <w:sz w:val="25"/>
            <w:szCs w:val="18"/>
          </w:rPr>
          <w:t>@</w:t>
        </w:r>
        <w:r w:rsidR="00054E9A" w:rsidRPr="009B1F6B">
          <w:rPr>
            <w:rStyle w:val="Hyperlink"/>
            <w:sz w:val="25"/>
            <w:szCs w:val="18"/>
            <w:lang w:val="en-US"/>
          </w:rPr>
          <w:t>vas</w:t>
        </w:r>
        <w:r w:rsidR="00054E9A" w:rsidRPr="009B1F6B">
          <w:rPr>
            <w:rStyle w:val="Hyperlink"/>
            <w:sz w:val="25"/>
            <w:szCs w:val="18"/>
          </w:rPr>
          <w:t>.</w:t>
        </w:r>
        <w:proofErr w:type="spellStart"/>
        <w:r w:rsidR="00054E9A" w:rsidRPr="009B1F6B">
          <w:rPr>
            <w:rStyle w:val="Hyperlink"/>
            <w:sz w:val="25"/>
            <w:szCs w:val="18"/>
            <w:lang w:val="en-US"/>
          </w:rPr>
          <w:t>bg</w:t>
        </w:r>
        <w:proofErr w:type="spellEnd"/>
      </w:hyperlink>
    </w:p>
    <w:p w:rsidR="00122757" w:rsidRPr="00F17257" w:rsidRDefault="00122757" w:rsidP="002871BA">
      <w:pPr>
        <w:jc w:val="both"/>
        <w:rPr>
          <w:sz w:val="25"/>
          <w:szCs w:val="18"/>
          <w:u w:val="single"/>
        </w:rPr>
      </w:pPr>
    </w:p>
    <w:p w:rsidR="00122757" w:rsidRPr="00F17257" w:rsidRDefault="00122757" w:rsidP="002871BA">
      <w:pPr>
        <w:jc w:val="both"/>
        <w:rPr>
          <w:sz w:val="25"/>
          <w:szCs w:val="18"/>
          <w:u w:val="single"/>
        </w:rPr>
      </w:pPr>
    </w:p>
    <w:p w:rsidR="00122757" w:rsidRPr="00F17257" w:rsidRDefault="00122757" w:rsidP="002871BA">
      <w:pPr>
        <w:jc w:val="both"/>
        <w:rPr>
          <w:sz w:val="25"/>
          <w:szCs w:val="26"/>
        </w:rPr>
      </w:pPr>
    </w:p>
    <w:p w:rsidR="00122757" w:rsidRPr="00F17257" w:rsidRDefault="00122757" w:rsidP="002871BA">
      <w:pPr>
        <w:jc w:val="both"/>
        <w:rPr>
          <w:sz w:val="25"/>
        </w:rPr>
      </w:pPr>
    </w:p>
    <w:p w:rsidR="00122757" w:rsidRPr="00F17257" w:rsidRDefault="000B450D" w:rsidP="000B450D">
      <w:pPr>
        <w:spacing w:line="360" w:lineRule="auto"/>
        <w:jc w:val="both"/>
        <w:rPr>
          <w:sz w:val="25"/>
          <w:szCs w:val="28"/>
        </w:rPr>
      </w:pPr>
      <w:r>
        <w:rPr>
          <w:sz w:val="25"/>
          <w:szCs w:val="28"/>
        </w:rPr>
        <w:t>Изх. №</w:t>
      </w:r>
      <w:r w:rsidR="00122757" w:rsidRPr="00F17257">
        <w:rPr>
          <w:sz w:val="25"/>
          <w:szCs w:val="28"/>
        </w:rPr>
        <w:t>......</w:t>
      </w:r>
      <w:r>
        <w:rPr>
          <w:sz w:val="25"/>
          <w:szCs w:val="28"/>
        </w:rPr>
        <w:t>.........................</w:t>
      </w:r>
    </w:p>
    <w:p w:rsidR="00326537" w:rsidRPr="000B450D" w:rsidRDefault="00122757" w:rsidP="000B450D">
      <w:pPr>
        <w:spacing w:line="360" w:lineRule="auto"/>
        <w:jc w:val="both"/>
        <w:rPr>
          <w:sz w:val="25"/>
          <w:szCs w:val="28"/>
        </w:rPr>
      </w:pPr>
      <w:r w:rsidRPr="00F17257">
        <w:rPr>
          <w:sz w:val="25"/>
          <w:szCs w:val="28"/>
        </w:rPr>
        <w:t xml:space="preserve">Дата: </w:t>
      </w:r>
      <w:r w:rsidR="000B450D">
        <w:rPr>
          <w:sz w:val="25"/>
          <w:szCs w:val="28"/>
        </w:rPr>
        <w:t>....................</w:t>
      </w:r>
      <w:r w:rsidR="00725F84">
        <w:rPr>
          <w:sz w:val="25"/>
          <w:szCs w:val="28"/>
        </w:rPr>
        <w:t>201</w:t>
      </w:r>
      <w:r w:rsidR="00725F84">
        <w:rPr>
          <w:sz w:val="25"/>
          <w:szCs w:val="28"/>
          <w:lang w:val="en-US"/>
        </w:rPr>
        <w:t>5</w:t>
      </w:r>
      <w:r w:rsidR="000B450D">
        <w:rPr>
          <w:sz w:val="25"/>
          <w:szCs w:val="28"/>
        </w:rPr>
        <w:t xml:space="preserve"> г</w:t>
      </w:r>
    </w:p>
    <w:p w:rsidR="00326537" w:rsidRPr="00326537" w:rsidRDefault="00326537" w:rsidP="002871BA">
      <w:pPr>
        <w:ind w:left="3540"/>
        <w:jc w:val="both"/>
        <w:rPr>
          <w:b/>
          <w:sz w:val="25"/>
          <w:szCs w:val="25"/>
          <w:lang w:val="en-US"/>
        </w:rPr>
      </w:pPr>
    </w:p>
    <w:p w:rsidR="00B30780" w:rsidRPr="00D66B1E" w:rsidRDefault="00B30780" w:rsidP="002871BA">
      <w:pPr>
        <w:ind w:left="3540"/>
        <w:jc w:val="both"/>
        <w:rPr>
          <w:b/>
          <w:sz w:val="28"/>
          <w:szCs w:val="28"/>
        </w:rPr>
      </w:pPr>
      <w:r w:rsidRPr="00D66B1E">
        <w:rPr>
          <w:b/>
          <w:sz w:val="28"/>
          <w:szCs w:val="28"/>
        </w:rPr>
        <w:t>ДО</w:t>
      </w:r>
    </w:p>
    <w:p w:rsidR="00B30780" w:rsidRPr="00D66B1E" w:rsidRDefault="00B30780" w:rsidP="002871BA">
      <w:pPr>
        <w:ind w:left="3540"/>
        <w:jc w:val="both"/>
        <w:rPr>
          <w:b/>
          <w:sz w:val="28"/>
          <w:szCs w:val="28"/>
        </w:rPr>
      </w:pPr>
      <w:r w:rsidRPr="00D66B1E">
        <w:rPr>
          <w:b/>
          <w:sz w:val="28"/>
          <w:szCs w:val="28"/>
        </w:rPr>
        <w:t>ОБЩО</w:t>
      </w:r>
      <w:r w:rsidR="00054E9A">
        <w:rPr>
          <w:b/>
          <w:sz w:val="28"/>
          <w:szCs w:val="28"/>
        </w:rPr>
        <w:t>ТО</w:t>
      </w:r>
      <w:r w:rsidRPr="00D66B1E">
        <w:rPr>
          <w:b/>
          <w:sz w:val="28"/>
          <w:szCs w:val="28"/>
        </w:rPr>
        <w:t xml:space="preserve"> СЪБРАНИЕ НА</w:t>
      </w:r>
    </w:p>
    <w:p w:rsidR="00B30780" w:rsidRPr="00D66B1E" w:rsidRDefault="000B450D" w:rsidP="002871BA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НАКАЗАТЕЛНАТА </w:t>
      </w:r>
      <w:r w:rsidR="00B30780" w:rsidRPr="00D66B1E">
        <w:rPr>
          <w:b/>
          <w:sz w:val="28"/>
          <w:szCs w:val="28"/>
        </w:rPr>
        <w:t>КОЛЕГИЯ</w:t>
      </w:r>
    </w:p>
    <w:p w:rsidR="00B30780" w:rsidRPr="00D66B1E" w:rsidRDefault="000B450D" w:rsidP="002871BA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ВЪРХОВНИЯ</w:t>
      </w:r>
      <w:r w:rsidR="00B30780" w:rsidRPr="00D66B1E">
        <w:rPr>
          <w:b/>
          <w:sz w:val="28"/>
          <w:szCs w:val="28"/>
        </w:rPr>
        <w:t xml:space="preserve"> КАСАЦИОНЕН СЪД</w:t>
      </w:r>
    </w:p>
    <w:p w:rsidR="000B450D" w:rsidRDefault="000B450D" w:rsidP="002871BA">
      <w:pPr>
        <w:jc w:val="both"/>
        <w:rPr>
          <w:sz w:val="28"/>
          <w:szCs w:val="28"/>
        </w:rPr>
      </w:pPr>
    </w:p>
    <w:p w:rsidR="000B450D" w:rsidRPr="006C0E8F" w:rsidRDefault="000B450D" w:rsidP="002871BA">
      <w:pPr>
        <w:jc w:val="both"/>
        <w:rPr>
          <w:sz w:val="28"/>
          <w:szCs w:val="28"/>
          <w:lang w:val="en-US"/>
        </w:rPr>
      </w:pPr>
    </w:p>
    <w:p w:rsidR="00D66B1E" w:rsidRPr="00D66B1E" w:rsidRDefault="00D66B1E" w:rsidP="00313185">
      <w:pPr>
        <w:jc w:val="center"/>
        <w:rPr>
          <w:b/>
          <w:sz w:val="28"/>
          <w:szCs w:val="28"/>
        </w:rPr>
      </w:pPr>
    </w:p>
    <w:p w:rsidR="00B30780" w:rsidRPr="00D66B1E" w:rsidRDefault="00B30780" w:rsidP="00D66B1E">
      <w:pPr>
        <w:ind w:left="2832" w:firstLine="708"/>
        <w:rPr>
          <w:b/>
          <w:sz w:val="28"/>
          <w:szCs w:val="28"/>
          <w:lang w:val="en-US"/>
        </w:rPr>
      </w:pPr>
      <w:r w:rsidRPr="00D66B1E">
        <w:rPr>
          <w:b/>
          <w:sz w:val="28"/>
          <w:szCs w:val="28"/>
        </w:rPr>
        <w:t>С Т А Н О В И Щ Е</w:t>
      </w:r>
    </w:p>
    <w:p w:rsidR="00D66B1E" w:rsidRPr="00D66B1E" w:rsidRDefault="00D66B1E" w:rsidP="00313185">
      <w:pPr>
        <w:jc w:val="center"/>
        <w:rPr>
          <w:b/>
          <w:sz w:val="28"/>
          <w:szCs w:val="28"/>
        </w:rPr>
      </w:pPr>
    </w:p>
    <w:p w:rsidR="00D66B1E" w:rsidRPr="00D66B1E" w:rsidRDefault="00D66B1E" w:rsidP="00D66B1E">
      <w:pPr>
        <w:rPr>
          <w:b/>
          <w:sz w:val="28"/>
          <w:szCs w:val="28"/>
        </w:rPr>
      </w:pPr>
      <w:r w:rsidRPr="00D66B1E">
        <w:rPr>
          <w:b/>
          <w:sz w:val="28"/>
          <w:szCs w:val="28"/>
          <w:lang w:val="en-US"/>
        </w:rPr>
        <w:tab/>
      </w:r>
      <w:r w:rsidRPr="00D66B1E">
        <w:rPr>
          <w:b/>
          <w:sz w:val="28"/>
          <w:szCs w:val="28"/>
          <w:lang w:val="en-US"/>
        </w:rPr>
        <w:tab/>
      </w:r>
      <w:r w:rsidRPr="00D66B1E">
        <w:rPr>
          <w:b/>
          <w:sz w:val="28"/>
          <w:szCs w:val="28"/>
          <w:lang w:val="en-US"/>
        </w:rPr>
        <w:tab/>
      </w:r>
      <w:r w:rsidRPr="00D66B1E">
        <w:rPr>
          <w:b/>
          <w:sz w:val="28"/>
          <w:szCs w:val="28"/>
          <w:lang w:val="en-US"/>
        </w:rPr>
        <w:tab/>
      </w:r>
      <w:r w:rsidRPr="00D66B1E">
        <w:rPr>
          <w:b/>
          <w:sz w:val="28"/>
          <w:szCs w:val="28"/>
          <w:lang w:val="en-US"/>
        </w:rPr>
        <w:tab/>
      </w:r>
    </w:p>
    <w:p w:rsidR="00D66B1E" w:rsidRPr="00D66B1E" w:rsidRDefault="00D66B1E" w:rsidP="00D66B1E">
      <w:pPr>
        <w:ind w:left="2832" w:firstLine="708"/>
        <w:rPr>
          <w:b/>
          <w:sz w:val="28"/>
          <w:szCs w:val="28"/>
        </w:rPr>
      </w:pPr>
      <w:r w:rsidRPr="00D66B1E">
        <w:rPr>
          <w:b/>
          <w:sz w:val="28"/>
          <w:szCs w:val="28"/>
        </w:rPr>
        <w:t>НА ВИСШИЯ АДВОКАТСКИ СЪВЕТ</w:t>
      </w:r>
    </w:p>
    <w:p w:rsidR="00B30780" w:rsidRPr="00D66B1E" w:rsidRDefault="00B30780" w:rsidP="00D66B1E">
      <w:pPr>
        <w:ind w:left="2832" w:firstLine="708"/>
        <w:rPr>
          <w:b/>
          <w:sz w:val="28"/>
          <w:szCs w:val="28"/>
          <w:u w:val="single"/>
        </w:rPr>
      </w:pPr>
      <w:r w:rsidRPr="00D66B1E">
        <w:rPr>
          <w:b/>
          <w:sz w:val="28"/>
          <w:szCs w:val="28"/>
          <w:u w:val="single"/>
        </w:rPr>
        <w:t xml:space="preserve">по тълкувателно дело № </w:t>
      </w:r>
      <w:r w:rsidR="006C0E8F">
        <w:rPr>
          <w:b/>
          <w:sz w:val="28"/>
          <w:szCs w:val="28"/>
          <w:u w:val="single"/>
          <w:lang w:val="en-US"/>
        </w:rPr>
        <w:t>3</w:t>
      </w:r>
      <w:r w:rsidR="000B450D">
        <w:rPr>
          <w:b/>
          <w:sz w:val="28"/>
          <w:szCs w:val="28"/>
          <w:u w:val="single"/>
        </w:rPr>
        <w:t xml:space="preserve"> </w:t>
      </w:r>
      <w:r w:rsidR="00D66B1E" w:rsidRPr="00D66B1E">
        <w:rPr>
          <w:b/>
          <w:sz w:val="28"/>
          <w:szCs w:val="28"/>
          <w:u w:val="single"/>
        </w:rPr>
        <w:t>/</w:t>
      </w:r>
      <w:r w:rsidR="000B450D">
        <w:rPr>
          <w:b/>
          <w:sz w:val="28"/>
          <w:szCs w:val="28"/>
          <w:u w:val="single"/>
        </w:rPr>
        <w:t xml:space="preserve"> 2015</w:t>
      </w:r>
      <w:r w:rsidR="00D66B1E" w:rsidRPr="00D66B1E">
        <w:rPr>
          <w:b/>
          <w:sz w:val="28"/>
          <w:szCs w:val="28"/>
          <w:u w:val="single"/>
        </w:rPr>
        <w:t xml:space="preserve"> г.</w:t>
      </w:r>
    </w:p>
    <w:p w:rsidR="00B30780" w:rsidRPr="00F17257" w:rsidRDefault="00B30780" w:rsidP="002871BA">
      <w:pPr>
        <w:jc w:val="both"/>
        <w:rPr>
          <w:sz w:val="25"/>
          <w:szCs w:val="25"/>
        </w:rPr>
      </w:pPr>
    </w:p>
    <w:p w:rsidR="00B30780" w:rsidRDefault="00B30780" w:rsidP="002871BA">
      <w:pPr>
        <w:jc w:val="both"/>
        <w:rPr>
          <w:b/>
          <w:sz w:val="25"/>
          <w:szCs w:val="25"/>
        </w:rPr>
      </w:pPr>
    </w:p>
    <w:p w:rsidR="00D66B1E" w:rsidRDefault="00D66B1E" w:rsidP="002871BA">
      <w:pPr>
        <w:jc w:val="both"/>
        <w:rPr>
          <w:b/>
          <w:sz w:val="25"/>
          <w:szCs w:val="25"/>
        </w:rPr>
      </w:pPr>
    </w:p>
    <w:p w:rsidR="00B30780" w:rsidRPr="00F17257" w:rsidRDefault="00B30780" w:rsidP="002871BA">
      <w:pPr>
        <w:jc w:val="both"/>
        <w:rPr>
          <w:sz w:val="25"/>
          <w:szCs w:val="25"/>
          <w:lang w:val="en-US"/>
        </w:rPr>
      </w:pPr>
    </w:p>
    <w:p w:rsidR="00AD2BFA" w:rsidRPr="00F17257" w:rsidRDefault="00AD2BFA" w:rsidP="002871BA">
      <w:pPr>
        <w:jc w:val="both"/>
        <w:rPr>
          <w:sz w:val="25"/>
          <w:szCs w:val="25"/>
          <w:lang w:val="en-US"/>
        </w:rPr>
      </w:pPr>
    </w:p>
    <w:p w:rsidR="006C0E8F" w:rsidRDefault="00B30780" w:rsidP="006C0E8F">
      <w:pPr>
        <w:jc w:val="both"/>
        <w:rPr>
          <w:sz w:val="28"/>
          <w:szCs w:val="28"/>
          <w:lang w:val="en-US"/>
        </w:rPr>
      </w:pPr>
      <w:r w:rsidRPr="000B450D">
        <w:rPr>
          <w:sz w:val="28"/>
          <w:szCs w:val="28"/>
        </w:rPr>
        <w:t xml:space="preserve"> </w:t>
      </w:r>
      <w:r w:rsidRPr="000B450D">
        <w:rPr>
          <w:sz w:val="28"/>
          <w:szCs w:val="28"/>
        </w:rPr>
        <w:tab/>
        <w:t>УВАЖАЕМИ ДАМИ И ГОСПОДА ВЪРХОВНИ СЪДИИ,</w:t>
      </w:r>
    </w:p>
    <w:p w:rsidR="006C0E8F" w:rsidRDefault="006C0E8F" w:rsidP="006C0E8F">
      <w:pPr>
        <w:jc w:val="both"/>
        <w:rPr>
          <w:sz w:val="28"/>
          <w:szCs w:val="28"/>
          <w:lang w:val="en-US"/>
        </w:rPr>
      </w:pPr>
    </w:p>
    <w:p w:rsidR="006C0E8F" w:rsidRDefault="006C0E8F" w:rsidP="006C0E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Тълкувателно дело № 3/2015 г. по описа на Върховния касационен съд, Наказателна колегия, е образувано за приемане на тълкувателно решение по следните процесуалноправни въпроси:</w:t>
      </w:r>
    </w:p>
    <w:p w:rsidR="006C0E8F" w:rsidRDefault="006C0E8F" w:rsidP="006C0E8F">
      <w:pPr>
        <w:ind w:firstLine="708"/>
        <w:jc w:val="both"/>
        <w:rPr>
          <w:sz w:val="28"/>
          <w:szCs w:val="28"/>
        </w:rPr>
      </w:pPr>
    </w:p>
    <w:p w:rsidR="006C0E8F" w:rsidRPr="001B1794" w:rsidRDefault="006C0E8F" w:rsidP="006C0E8F">
      <w:pPr>
        <w:jc w:val="both"/>
        <w:rPr>
          <w:i/>
          <w:sz w:val="28"/>
          <w:szCs w:val="28"/>
        </w:rPr>
      </w:pPr>
      <w:r>
        <w:t xml:space="preserve">           </w:t>
      </w:r>
      <w:r w:rsidRPr="001B1794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1B1794">
        <w:rPr>
          <w:i/>
          <w:sz w:val="28"/>
          <w:szCs w:val="28"/>
        </w:rPr>
        <w:t>Налиц</w:t>
      </w:r>
      <w:r>
        <w:rPr>
          <w:i/>
          <w:sz w:val="28"/>
          <w:szCs w:val="28"/>
        </w:rPr>
        <w:t>е ли са основания за промяна на тълкуването,</w:t>
      </w:r>
      <w:r w:rsidRPr="001B1794">
        <w:rPr>
          <w:i/>
          <w:sz w:val="28"/>
          <w:szCs w:val="28"/>
        </w:rPr>
        <w:t xml:space="preserve"> дадено с ТР № 85</w:t>
      </w:r>
      <w:r>
        <w:rPr>
          <w:i/>
          <w:sz w:val="28"/>
          <w:szCs w:val="28"/>
        </w:rPr>
        <w:t xml:space="preserve"> от 01.11.1966 г. на ОСНК на ВС</w:t>
      </w:r>
      <w:r>
        <w:rPr>
          <w:i/>
          <w:sz w:val="28"/>
          <w:szCs w:val="28"/>
          <w:lang w:val="en-US"/>
        </w:rPr>
        <w:t>?</w:t>
      </w:r>
      <w:r w:rsidRPr="001B1794">
        <w:rPr>
          <w:i/>
          <w:sz w:val="28"/>
          <w:szCs w:val="28"/>
        </w:rPr>
        <w:t xml:space="preserve"> </w:t>
      </w:r>
    </w:p>
    <w:p w:rsidR="006C0E8F" w:rsidRPr="001B1794" w:rsidRDefault="006C0E8F" w:rsidP="006C0E8F">
      <w:pPr>
        <w:jc w:val="both"/>
        <w:rPr>
          <w:i/>
          <w:sz w:val="28"/>
          <w:szCs w:val="28"/>
        </w:rPr>
      </w:pPr>
      <w:r w:rsidRPr="001B1794">
        <w:rPr>
          <w:i/>
          <w:sz w:val="28"/>
          <w:szCs w:val="28"/>
        </w:rPr>
        <w:tab/>
        <w:t>1.1. Ако отговорът е положителен, подлежи ли на прекратяване на основание чл. 24 ал. 1 т. 6 НПК наказателното производство образувано срещу лице, по отношение на което е било проведено административно</w:t>
      </w:r>
      <w:r>
        <w:rPr>
          <w:i/>
          <w:sz w:val="28"/>
          <w:szCs w:val="28"/>
        </w:rPr>
        <w:t>-</w:t>
      </w:r>
      <w:r w:rsidRPr="001B1794">
        <w:rPr>
          <w:i/>
          <w:sz w:val="28"/>
          <w:szCs w:val="28"/>
        </w:rPr>
        <w:t>наказателн</w:t>
      </w:r>
      <w:r>
        <w:rPr>
          <w:i/>
          <w:sz w:val="28"/>
          <w:szCs w:val="28"/>
        </w:rPr>
        <w:t>о производство за същото деяние?</w:t>
      </w:r>
      <w:r w:rsidRPr="001B1794">
        <w:rPr>
          <w:i/>
          <w:sz w:val="28"/>
          <w:szCs w:val="28"/>
        </w:rPr>
        <w:t xml:space="preserve"> </w:t>
      </w:r>
    </w:p>
    <w:p w:rsidR="006C0E8F" w:rsidRPr="001B1794" w:rsidRDefault="006C0E8F" w:rsidP="006C0E8F">
      <w:pPr>
        <w:jc w:val="both"/>
        <w:rPr>
          <w:i/>
          <w:sz w:val="28"/>
          <w:szCs w:val="28"/>
        </w:rPr>
      </w:pPr>
      <w:r w:rsidRPr="001B1794">
        <w:rPr>
          <w:i/>
          <w:sz w:val="28"/>
          <w:szCs w:val="28"/>
        </w:rPr>
        <w:tab/>
        <w:t>1.2. По какъв начин се преодолява двойното наказване на едно и също лице в административно</w:t>
      </w:r>
      <w:r>
        <w:rPr>
          <w:i/>
          <w:sz w:val="28"/>
          <w:szCs w:val="28"/>
        </w:rPr>
        <w:t>-</w:t>
      </w:r>
      <w:r w:rsidRPr="001B1794">
        <w:rPr>
          <w:i/>
          <w:sz w:val="28"/>
          <w:szCs w:val="28"/>
        </w:rPr>
        <w:t xml:space="preserve">наказателно производство и в наказателно </w:t>
      </w:r>
      <w:r w:rsidRPr="001B1794">
        <w:rPr>
          <w:i/>
          <w:sz w:val="28"/>
          <w:szCs w:val="28"/>
        </w:rPr>
        <w:lastRenderedPageBreak/>
        <w:t>производство, когато административно</w:t>
      </w:r>
      <w:r>
        <w:rPr>
          <w:i/>
          <w:sz w:val="28"/>
          <w:szCs w:val="28"/>
        </w:rPr>
        <w:t>-</w:t>
      </w:r>
      <w:r w:rsidRPr="001B1794">
        <w:rPr>
          <w:i/>
          <w:sz w:val="28"/>
          <w:szCs w:val="28"/>
        </w:rPr>
        <w:t>наказателното производство</w:t>
      </w:r>
      <w:r>
        <w:rPr>
          <w:i/>
          <w:sz w:val="28"/>
          <w:szCs w:val="28"/>
        </w:rPr>
        <w:t xml:space="preserve"> се е развило първо във времето?</w:t>
      </w:r>
      <w:r w:rsidRPr="001B1794">
        <w:rPr>
          <w:i/>
          <w:sz w:val="28"/>
          <w:szCs w:val="28"/>
        </w:rPr>
        <w:t xml:space="preserve"> </w:t>
      </w:r>
    </w:p>
    <w:p w:rsidR="006C0E8F" w:rsidRPr="001B1794" w:rsidRDefault="006C0E8F" w:rsidP="006C0E8F">
      <w:pPr>
        <w:jc w:val="both"/>
        <w:rPr>
          <w:i/>
          <w:sz w:val="28"/>
          <w:szCs w:val="28"/>
        </w:rPr>
      </w:pPr>
      <w:r w:rsidRPr="001B1794">
        <w:rPr>
          <w:i/>
          <w:sz w:val="28"/>
          <w:szCs w:val="28"/>
        </w:rPr>
        <w:tab/>
        <w:t>2.</w:t>
      </w:r>
      <w:r>
        <w:rPr>
          <w:i/>
          <w:sz w:val="28"/>
          <w:szCs w:val="28"/>
        </w:rPr>
        <w:t xml:space="preserve"> </w:t>
      </w:r>
      <w:r w:rsidRPr="001B1794">
        <w:rPr>
          <w:i/>
          <w:sz w:val="28"/>
          <w:szCs w:val="28"/>
        </w:rPr>
        <w:t xml:space="preserve">Налице ли са основания за промяна на тълкуването дадено с ТР № 46 от 16.10.1979 г. по </w:t>
      </w:r>
      <w:r>
        <w:rPr>
          <w:i/>
          <w:sz w:val="28"/>
          <w:szCs w:val="28"/>
        </w:rPr>
        <w:t>н.д. № 36/1979 г. на ОСНК на ВС?</w:t>
      </w:r>
      <w:r w:rsidRPr="001B1794">
        <w:rPr>
          <w:i/>
          <w:sz w:val="28"/>
          <w:szCs w:val="28"/>
        </w:rPr>
        <w:t xml:space="preserve"> </w:t>
      </w:r>
    </w:p>
    <w:p w:rsidR="006C0E8F" w:rsidRPr="001B1794" w:rsidRDefault="006C0E8F" w:rsidP="006C0E8F">
      <w:pPr>
        <w:jc w:val="both"/>
        <w:rPr>
          <w:i/>
          <w:sz w:val="28"/>
          <w:szCs w:val="28"/>
        </w:rPr>
      </w:pPr>
      <w:r w:rsidRPr="001B1794">
        <w:rPr>
          <w:i/>
          <w:sz w:val="28"/>
          <w:szCs w:val="28"/>
        </w:rPr>
        <w:tab/>
        <w:t>2.1.</w:t>
      </w:r>
      <w:r>
        <w:rPr>
          <w:i/>
          <w:sz w:val="28"/>
          <w:szCs w:val="28"/>
        </w:rPr>
        <w:t xml:space="preserve"> </w:t>
      </w:r>
      <w:r w:rsidRPr="001B1794">
        <w:rPr>
          <w:i/>
          <w:sz w:val="28"/>
          <w:szCs w:val="28"/>
        </w:rPr>
        <w:t>Ако отговорът е положителен, допустимо ли е районният съд</w:t>
      </w:r>
      <w:r>
        <w:rPr>
          <w:i/>
          <w:sz w:val="28"/>
          <w:szCs w:val="28"/>
        </w:rPr>
        <w:t>,</w:t>
      </w:r>
      <w:r w:rsidRPr="001B1794">
        <w:rPr>
          <w:i/>
          <w:sz w:val="28"/>
          <w:szCs w:val="28"/>
        </w:rPr>
        <w:t xml:space="preserve"> разглеждащ обвинение за престъпление по НК, да оправдае подсъдимия и да наложи на подсъдимия административно наказание, ако приеме, че не са налице основания за постановяване на осъдителна присъда, но констатира, че има достатъчно доказателст</w:t>
      </w:r>
      <w:r>
        <w:rPr>
          <w:i/>
          <w:sz w:val="28"/>
          <w:szCs w:val="28"/>
        </w:rPr>
        <w:t>ва за административно нарушение?</w:t>
      </w:r>
      <w:r w:rsidRPr="001B1794">
        <w:rPr>
          <w:i/>
          <w:sz w:val="28"/>
          <w:szCs w:val="28"/>
        </w:rPr>
        <w:t xml:space="preserve"> </w:t>
      </w:r>
    </w:p>
    <w:p w:rsidR="006C0E8F" w:rsidRPr="001B1794" w:rsidRDefault="006C0E8F" w:rsidP="006C0E8F">
      <w:pPr>
        <w:jc w:val="both"/>
        <w:rPr>
          <w:i/>
          <w:sz w:val="28"/>
          <w:szCs w:val="28"/>
        </w:rPr>
      </w:pPr>
    </w:p>
    <w:p w:rsidR="006C0E8F" w:rsidRDefault="006C0E8F" w:rsidP="006C0E8F">
      <w:pPr>
        <w:jc w:val="both"/>
        <w:rPr>
          <w:i/>
          <w:sz w:val="28"/>
          <w:szCs w:val="28"/>
        </w:rPr>
      </w:pPr>
      <w:r w:rsidRPr="001B1794">
        <w:rPr>
          <w:i/>
          <w:sz w:val="28"/>
          <w:szCs w:val="28"/>
        </w:rPr>
        <w:tab/>
        <w:t>3. Налице ли са основания за промяна на тълкуването</w:t>
      </w:r>
      <w:r>
        <w:rPr>
          <w:i/>
          <w:sz w:val="28"/>
          <w:szCs w:val="28"/>
        </w:rPr>
        <w:t>,</w:t>
      </w:r>
      <w:r w:rsidRPr="001B1794">
        <w:rPr>
          <w:i/>
          <w:sz w:val="28"/>
          <w:szCs w:val="28"/>
        </w:rPr>
        <w:t xml:space="preserve"> дадено с ТР № 51 от 29.12.1978 г. по н.д. </w:t>
      </w:r>
      <w:r>
        <w:rPr>
          <w:i/>
          <w:sz w:val="28"/>
          <w:szCs w:val="28"/>
        </w:rPr>
        <w:t>№ 50/1978 г. на ОСНК на ВС?</w:t>
      </w:r>
      <w:r w:rsidRPr="001B1794">
        <w:rPr>
          <w:i/>
          <w:sz w:val="28"/>
          <w:szCs w:val="28"/>
        </w:rPr>
        <w:t xml:space="preserve"> </w:t>
      </w:r>
    </w:p>
    <w:p w:rsidR="006C0E8F" w:rsidRPr="001B1794" w:rsidRDefault="006C0E8F" w:rsidP="006C0E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B1794">
        <w:rPr>
          <w:i/>
          <w:sz w:val="28"/>
          <w:szCs w:val="28"/>
        </w:rPr>
        <w:t>Ако отговорът е положителен, следва ли деецът да носи едновременно наказателна и административно</w:t>
      </w:r>
      <w:r>
        <w:rPr>
          <w:i/>
          <w:sz w:val="28"/>
          <w:szCs w:val="28"/>
        </w:rPr>
        <w:t>-</w:t>
      </w:r>
      <w:r w:rsidRPr="001B1794">
        <w:rPr>
          <w:i/>
          <w:sz w:val="28"/>
          <w:szCs w:val="28"/>
        </w:rPr>
        <w:t>наказателна отговорност в случаите, когато с извършеното от него деяние са нарушени едновременно наказателна и административно</w:t>
      </w:r>
      <w:r>
        <w:rPr>
          <w:i/>
          <w:sz w:val="28"/>
          <w:szCs w:val="28"/>
        </w:rPr>
        <w:t>-</w:t>
      </w:r>
      <w:r w:rsidRPr="001B1794">
        <w:rPr>
          <w:i/>
          <w:sz w:val="28"/>
          <w:szCs w:val="28"/>
        </w:rPr>
        <w:t>наказателна но</w:t>
      </w:r>
      <w:r>
        <w:rPr>
          <w:i/>
          <w:sz w:val="28"/>
          <w:szCs w:val="28"/>
        </w:rPr>
        <w:t>рма с различни обекти на защита?</w:t>
      </w:r>
      <w:r w:rsidRPr="001B1794">
        <w:rPr>
          <w:i/>
          <w:sz w:val="28"/>
          <w:szCs w:val="28"/>
        </w:rPr>
        <w:t xml:space="preserve"> </w:t>
      </w:r>
    </w:p>
    <w:p w:rsidR="006C0E8F" w:rsidRPr="001B1794" w:rsidRDefault="006C0E8F" w:rsidP="006C0E8F">
      <w:pPr>
        <w:jc w:val="both"/>
      </w:pPr>
    </w:p>
    <w:p w:rsidR="006C0E8F" w:rsidRDefault="006C0E8F" w:rsidP="006C0E8F">
      <w:pPr>
        <w:ind w:firstLine="708"/>
        <w:jc w:val="both"/>
        <w:rPr>
          <w:sz w:val="28"/>
          <w:szCs w:val="28"/>
        </w:rPr>
      </w:pPr>
      <w:r w:rsidRPr="002B4DA4">
        <w:rPr>
          <w:sz w:val="28"/>
          <w:szCs w:val="28"/>
        </w:rPr>
        <w:t xml:space="preserve"> Отговор</w:t>
      </w:r>
      <w:r>
        <w:rPr>
          <w:sz w:val="28"/>
          <w:szCs w:val="28"/>
        </w:rPr>
        <w:t>ите на поставените въпроси несъмнено следва да се дадат  през призмата на</w:t>
      </w:r>
      <w:r w:rsidRPr="002B4DA4">
        <w:rPr>
          <w:sz w:val="28"/>
          <w:szCs w:val="28"/>
        </w:rPr>
        <w:t xml:space="preserve"> практиката на Европейския съд по </w:t>
      </w:r>
      <w:r>
        <w:rPr>
          <w:sz w:val="28"/>
          <w:szCs w:val="28"/>
        </w:rPr>
        <w:t>правата на човека в Страсбург (</w:t>
      </w:r>
      <w:r w:rsidRPr="002B4DA4">
        <w:rPr>
          <w:sz w:val="28"/>
          <w:szCs w:val="28"/>
        </w:rPr>
        <w:t xml:space="preserve">ЕСПЧ), постановена при тълкуване на член 4 от Протокол № 7 от </w:t>
      </w:r>
      <w:r>
        <w:rPr>
          <w:sz w:val="28"/>
          <w:szCs w:val="28"/>
        </w:rPr>
        <w:t>Европейската конвенция за правата на човека и основните свободи (</w:t>
      </w:r>
      <w:r w:rsidRPr="002B4DA4">
        <w:rPr>
          <w:sz w:val="28"/>
          <w:szCs w:val="28"/>
        </w:rPr>
        <w:t>Конвенцията</w:t>
      </w:r>
      <w:r>
        <w:rPr>
          <w:sz w:val="28"/>
          <w:szCs w:val="28"/>
        </w:rPr>
        <w:t>; ЕКПЧОС)</w:t>
      </w:r>
      <w:r w:rsidRPr="002B4DA4">
        <w:rPr>
          <w:sz w:val="28"/>
          <w:szCs w:val="28"/>
        </w:rPr>
        <w:t>.</w:t>
      </w:r>
      <w:r>
        <w:rPr>
          <w:sz w:val="28"/>
          <w:szCs w:val="28"/>
        </w:rPr>
        <w:t xml:space="preserve"> Това е така, тъй като с член 4 от Протокол № 7 се въвежда принцип, приложим само в наказателното производство, но самото понятие „наказателно производство” според Конвенцията не е идентично с тълкуването, давано в тесния смисъл на НПК (в смисъл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ред, по който се разкриват престъпленията и се осъществява отговорността спрямо извършителите на престъпни деяния). Ето защо, в практиката по Конвенцията, класификацията по националното право на едно производство като наказателно  има значение единствено на „отправна точка”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>, а не предопределя преценката, която ЕСПЧ ще направи.</w:t>
      </w:r>
    </w:p>
    <w:p w:rsidR="006C0E8F" w:rsidRDefault="006C0E8F" w:rsidP="006C0E8F">
      <w:pPr>
        <w:ind w:firstLine="708"/>
        <w:jc w:val="both"/>
        <w:rPr>
          <w:sz w:val="28"/>
          <w:szCs w:val="28"/>
        </w:rPr>
      </w:pPr>
    </w:p>
    <w:p w:rsidR="006C0E8F" w:rsidRDefault="006C0E8F" w:rsidP="006C0E8F">
      <w:pPr>
        <w:ind w:firstLine="708"/>
        <w:jc w:val="both"/>
        <w:rPr>
          <w:sz w:val="28"/>
          <w:szCs w:val="28"/>
        </w:rPr>
      </w:pPr>
      <w:r w:rsidRPr="00F01A21">
        <w:rPr>
          <w:b/>
          <w:sz w:val="28"/>
          <w:szCs w:val="28"/>
        </w:rPr>
        <w:t>І. Понятието „наказателно обвинение” по смисъла на чл. 6 § 1 от Конвенцията ,приложимо към чл.4 от Протокол № 7</w:t>
      </w:r>
      <w:r>
        <w:rPr>
          <w:sz w:val="28"/>
          <w:szCs w:val="28"/>
        </w:rPr>
        <w:t>.</w:t>
      </w:r>
    </w:p>
    <w:p w:rsidR="006C0E8F" w:rsidRDefault="006C0E8F" w:rsidP="006C0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E8F" w:rsidRDefault="006C0E8F" w:rsidP="006C0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Според критериите, разработени по делото </w:t>
      </w:r>
      <w:r w:rsidRPr="00663746">
        <w:rPr>
          <w:b/>
          <w:i/>
          <w:sz w:val="28"/>
          <w:szCs w:val="28"/>
        </w:rPr>
        <w:t>Енгел и др.</w:t>
      </w:r>
      <w:r>
        <w:rPr>
          <w:b/>
          <w:i/>
          <w:sz w:val="28"/>
          <w:szCs w:val="28"/>
        </w:rPr>
        <w:t xml:space="preserve"> </w:t>
      </w:r>
      <w:r w:rsidRPr="00663746">
        <w:rPr>
          <w:b/>
          <w:i/>
          <w:sz w:val="28"/>
          <w:szCs w:val="28"/>
        </w:rPr>
        <w:t>против Холандия</w:t>
      </w:r>
      <w:r>
        <w:rPr>
          <w:sz w:val="28"/>
          <w:szCs w:val="28"/>
        </w:rPr>
        <w:t xml:space="preserve">, решение от 08.06.1976,§ 82, три са факторите, които имат значение за преценката дали една процедура има характер на наказателна:                    </w:t>
      </w:r>
    </w:p>
    <w:p w:rsidR="006C0E8F" w:rsidRDefault="006C0E8F" w:rsidP="006C0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а/    класификация по вътрешното право, което както се посочи по-горе има значение само на отправна точка; </w:t>
      </w:r>
    </w:p>
    <w:p w:rsidR="006C0E8F" w:rsidRPr="00E32A09" w:rsidRDefault="006C0E8F" w:rsidP="006C0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б/ характер и естество на обвинението или правонарушението, независимо от неговата класификация по националното право</w:t>
      </w:r>
      <w:r w:rsidRPr="00E32A0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тази насока </w:t>
      </w:r>
      <w:r>
        <w:rPr>
          <w:sz w:val="28"/>
          <w:szCs w:val="28"/>
        </w:rPr>
        <w:lastRenderedPageBreak/>
        <w:t xml:space="preserve">съдът подчертава, че основен </w:t>
      </w:r>
      <w:r w:rsidRPr="00E32A09">
        <w:rPr>
          <w:sz w:val="28"/>
          <w:szCs w:val="28"/>
        </w:rPr>
        <w:t>беле</w:t>
      </w:r>
      <w:r>
        <w:rPr>
          <w:sz w:val="28"/>
          <w:szCs w:val="28"/>
        </w:rPr>
        <w:t xml:space="preserve">г </w:t>
      </w:r>
      <w:r w:rsidRPr="00E32A09">
        <w:rPr>
          <w:sz w:val="28"/>
          <w:szCs w:val="28"/>
        </w:rPr>
        <w:t>на наказателното обвинение е изграждането му върху норми от общ характер, насочени към неограничен брой адресати</w:t>
      </w:r>
      <w:r w:rsidRPr="00E32A09">
        <w:rPr>
          <w:b/>
          <w:sz w:val="28"/>
          <w:szCs w:val="28"/>
        </w:rPr>
        <w:t xml:space="preserve"> </w:t>
      </w:r>
      <w:r w:rsidRPr="00E32A09">
        <w:rPr>
          <w:rStyle w:val="FootnoteReference"/>
          <w:b/>
          <w:sz w:val="28"/>
          <w:szCs w:val="28"/>
        </w:rPr>
        <w:footnoteReference w:id="2"/>
      </w:r>
      <w:r w:rsidRPr="00E32A09">
        <w:rPr>
          <w:b/>
          <w:sz w:val="28"/>
          <w:szCs w:val="28"/>
        </w:rPr>
        <w:t xml:space="preserve"> ;</w:t>
      </w:r>
    </w:p>
    <w:p w:rsidR="006C0E8F" w:rsidRPr="00E32A09" w:rsidRDefault="006C0E8F" w:rsidP="006C0E8F">
      <w:pPr>
        <w:ind w:firstLine="708"/>
        <w:jc w:val="both"/>
        <w:rPr>
          <w:sz w:val="28"/>
          <w:szCs w:val="28"/>
        </w:rPr>
      </w:pPr>
      <w:r w:rsidRPr="00E32A09">
        <w:rPr>
          <w:sz w:val="28"/>
          <w:szCs w:val="28"/>
        </w:rPr>
        <w:t>в/ степента на строгост на наказанието, което обвиняемият рискува да му бъде наложено</w:t>
      </w:r>
    </w:p>
    <w:p w:rsidR="006C0E8F" w:rsidRDefault="006C0E8F" w:rsidP="006C0E8F">
      <w:pPr>
        <w:ind w:firstLine="708"/>
        <w:jc w:val="both"/>
        <w:rPr>
          <w:color w:val="000000"/>
        </w:rPr>
      </w:pPr>
      <w:r w:rsidRPr="00E32A09">
        <w:rPr>
          <w:sz w:val="28"/>
          <w:szCs w:val="28"/>
        </w:rPr>
        <w:t>В тази насока нееднократно е приемано от ЕСПЧ, че</w:t>
      </w:r>
      <w:r w:rsidRPr="00E32A09">
        <w:rPr>
          <w:b/>
          <w:sz w:val="28"/>
          <w:szCs w:val="28"/>
        </w:rPr>
        <w:t xml:space="preserve"> </w:t>
      </w:r>
      <w:r w:rsidRPr="006C0E8F">
        <w:rPr>
          <w:sz w:val="28"/>
          <w:szCs w:val="28"/>
        </w:rPr>
        <w:t>з</w:t>
      </w:r>
      <w:r w:rsidRPr="00E32A09">
        <w:rPr>
          <w:color w:val="000000"/>
          <w:sz w:val="28"/>
          <w:szCs w:val="28"/>
        </w:rPr>
        <w:t>начителните имуществени санкции са по начало наказателни по своя характер.</w:t>
      </w:r>
      <w:r>
        <w:rPr>
          <w:color w:val="000000"/>
          <w:sz w:val="28"/>
          <w:szCs w:val="28"/>
        </w:rPr>
        <w:t xml:space="preserve"> Например глоба в размер на 40% от дължимия данък представлява наказателна санкция  или съпътстването на глобата с ограничения в дейността на търговец и конфискация на имущество съставляват „наказателна санкция”, дори когато са наложени в производство, което не е наказателно по вътрешния закон.</w:t>
      </w:r>
      <w:r>
        <w:rPr>
          <w:rStyle w:val="FootnoteReference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 xml:space="preserve"> Според </w:t>
      </w:r>
      <w:r w:rsidRPr="00E32A09">
        <w:rPr>
          <w:color w:val="000000"/>
          <w:sz w:val="28"/>
          <w:szCs w:val="28"/>
        </w:rPr>
        <w:t xml:space="preserve">приетото от Съда по делото </w:t>
      </w:r>
      <w:proofErr w:type="spellStart"/>
      <w:r w:rsidRPr="00E32A09">
        <w:rPr>
          <w:b/>
          <w:i/>
          <w:color w:val="000000"/>
          <w:sz w:val="28"/>
          <w:szCs w:val="28"/>
          <w:lang w:val="en-US"/>
        </w:rPr>
        <w:t>Salabiaku</w:t>
      </w:r>
      <w:proofErr w:type="spellEnd"/>
      <w:r w:rsidRPr="00E32A09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E32A09">
        <w:rPr>
          <w:b/>
          <w:i/>
          <w:color w:val="000000"/>
          <w:sz w:val="28"/>
          <w:szCs w:val="28"/>
          <w:lang w:val="en-US"/>
        </w:rPr>
        <w:t>v.France</w:t>
      </w:r>
      <w:proofErr w:type="spellEnd"/>
      <w:r w:rsidRPr="00E32A09">
        <w:rPr>
          <w:color w:val="000000"/>
          <w:sz w:val="28"/>
          <w:szCs w:val="28"/>
          <w:lang w:val="en-US"/>
        </w:rPr>
        <w:t xml:space="preserve"> </w:t>
      </w:r>
      <w:r w:rsidRPr="00E32A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32A09">
        <w:rPr>
          <w:color w:val="000000"/>
          <w:sz w:val="28"/>
          <w:szCs w:val="28"/>
        </w:rPr>
        <w:t>Решение от 7 октомври 1988</w:t>
      </w:r>
      <w:r>
        <w:rPr>
          <w:color w:val="000000"/>
          <w:sz w:val="28"/>
          <w:szCs w:val="28"/>
        </w:rPr>
        <w:t>,</w:t>
      </w:r>
      <w:r w:rsidRPr="00E32A09">
        <w:rPr>
          <w:color w:val="000000"/>
          <w:sz w:val="28"/>
          <w:szCs w:val="28"/>
          <w:lang w:val="en-US"/>
        </w:rPr>
        <w:t xml:space="preserve"> </w:t>
      </w:r>
      <w:r w:rsidRPr="00E32A09">
        <w:rPr>
          <w:color w:val="000000"/>
          <w:sz w:val="28"/>
          <w:szCs w:val="28"/>
        </w:rPr>
        <w:t>паричните санкции, които не са компенсаторни, а са наказателни по своя характер, превръщат производството в наказателно по смисъла на чл.6 §1 от Конвенцията</w:t>
      </w:r>
      <w:r w:rsidRPr="006C0E8F">
        <w:rPr>
          <w:color w:val="000000"/>
          <w:sz w:val="28"/>
          <w:szCs w:val="28"/>
        </w:rPr>
        <w:t>.</w:t>
      </w:r>
    </w:p>
    <w:p w:rsidR="006C0E8F" w:rsidRPr="00E32A09" w:rsidRDefault="006C0E8F" w:rsidP="006C0E8F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 w:rsidRPr="00E32A09">
        <w:rPr>
          <w:color w:val="000000"/>
          <w:sz w:val="28"/>
          <w:szCs w:val="28"/>
        </w:rPr>
        <w:t>Прилагането на тези критерии в практиката на ЕСПЧ е довело да заключения, че конфискация, осъществена по граждански път в гражданско производство може да има характер на наказателно обвинение</w:t>
      </w:r>
      <w:r w:rsidRPr="00E32A09">
        <w:rPr>
          <w:rStyle w:val="FootnoteReference"/>
          <w:color w:val="000000"/>
          <w:sz w:val="28"/>
          <w:szCs w:val="28"/>
        </w:rPr>
        <w:footnoteReference w:id="4"/>
      </w:r>
    </w:p>
    <w:p w:rsidR="006C0E8F" w:rsidRDefault="006C0E8F" w:rsidP="006C0E8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  </w:t>
      </w:r>
      <w:r w:rsidRPr="006D4F57">
        <w:rPr>
          <w:color w:val="000000"/>
          <w:sz w:val="28"/>
          <w:szCs w:val="28"/>
        </w:rPr>
        <w:t>Разгледани по отношение на тяхната тежест,</w:t>
      </w:r>
      <w:r>
        <w:rPr>
          <w:color w:val="000000"/>
          <w:sz w:val="28"/>
          <w:szCs w:val="28"/>
        </w:rPr>
        <w:t xml:space="preserve"> критериите, формирани в делото </w:t>
      </w:r>
      <w:r w:rsidRPr="0048431E">
        <w:rPr>
          <w:b/>
          <w:i/>
          <w:color w:val="000000"/>
          <w:sz w:val="28"/>
          <w:szCs w:val="28"/>
        </w:rPr>
        <w:t>Енгел и др</w:t>
      </w:r>
      <w:r>
        <w:rPr>
          <w:color w:val="000000"/>
          <w:sz w:val="28"/>
          <w:szCs w:val="28"/>
        </w:rPr>
        <w:t xml:space="preserve">. сочат, че </w:t>
      </w:r>
      <w:r w:rsidRPr="006D4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вторият и третият от тях са алтернативни </w:t>
      </w:r>
      <w:r w:rsidRPr="006C0E8F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т.е както характерът на правонарушението, така и строгостта на евентуалното наказание сами по себе си са достатъчен фактор за определяне на производството като „наказателно”.</w:t>
      </w:r>
      <w:r w:rsidRPr="006D4F57">
        <w:rPr>
          <w:color w:val="000000"/>
          <w:sz w:val="28"/>
          <w:szCs w:val="28"/>
        </w:rPr>
        <w:t xml:space="preserve"> Относно третия  критерий </w:t>
      </w:r>
      <w:r w:rsidRPr="006C0E8F">
        <w:rPr>
          <w:b/>
          <w:color w:val="000000"/>
          <w:sz w:val="28"/>
          <w:szCs w:val="28"/>
        </w:rPr>
        <w:t>-</w:t>
      </w:r>
      <w:r w:rsidRPr="006D4F57">
        <w:rPr>
          <w:color w:val="000000"/>
          <w:sz w:val="28"/>
          <w:szCs w:val="28"/>
        </w:rPr>
        <w:t xml:space="preserve"> степента на тежест на предвиденото наказани</w:t>
      </w:r>
      <w:r>
        <w:rPr>
          <w:color w:val="000000"/>
          <w:sz w:val="28"/>
          <w:szCs w:val="28"/>
        </w:rPr>
        <w:t>е, ЕСПЧ приема, че наказанието „</w:t>
      </w:r>
      <w:r w:rsidRPr="006D4F57">
        <w:rPr>
          <w:color w:val="000000"/>
          <w:sz w:val="28"/>
          <w:szCs w:val="28"/>
        </w:rPr>
        <w:t>лишаване  от свобода</w:t>
      </w:r>
      <w:r>
        <w:rPr>
          <w:color w:val="000000"/>
          <w:sz w:val="28"/>
          <w:szCs w:val="28"/>
        </w:rPr>
        <w:t>”</w:t>
      </w:r>
      <w:r w:rsidRPr="006D4F57">
        <w:rPr>
          <w:color w:val="000000"/>
          <w:sz w:val="28"/>
          <w:szCs w:val="28"/>
        </w:rPr>
        <w:t xml:space="preserve"> винаги определя производството като наказа</w:t>
      </w:r>
      <w:r>
        <w:rPr>
          <w:color w:val="000000"/>
          <w:sz w:val="28"/>
          <w:szCs w:val="28"/>
        </w:rPr>
        <w:t>телно, освен в случаите, когато</w:t>
      </w:r>
      <w:r w:rsidRPr="006D4F57">
        <w:rPr>
          <w:color w:val="000000"/>
          <w:sz w:val="28"/>
          <w:szCs w:val="28"/>
        </w:rPr>
        <w:t xml:space="preserve"> то не води до сериозно накърняване на личността на задържания</w:t>
      </w:r>
      <w:r w:rsidRPr="006D4F57">
        <w:rPr>
          <w:rStyle w:val="FootnoteReference"/>
          <w:color w:val="000000"/>
          <w:sz w:val="28"/>
          <w:szCs w:val="28"/>
        </w:rPr>
        <w:footnoteReference w:id="5"/>
      </w:r>
      <w:r w:rsidRPr="006D4F57">
        <w:rPr>
          <w:color w:val="000000"/>
          <w:sz w:val="28"/>
          <w:szCs w:val="28"/>
        </w:rPr>
        <w:t xml:space="preserve"> .</w:t>
      </w:r>
    </w:p>
    <w:p w:rsidR="006C0E8F" w:rsidRPr="006D4F57" w:rsidRDefault="006C0E8F" w:rsidP="006C0E8F">
      <w:pPr>
        <w:jc w:val="both"/>
        <w:rPr>
          <w:color w:val="000000"/>
          <w:sz w:val="28"/>
          <w:szCs w:val="28"/>
        </w:rPr>
      </w:pPr>
    </w:p>
    <w:p w:rsidR="006C0E8F" w:rsidRDefault="006C0E8F" w:rsidP="006C0E8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7D4F">
        <w:rPr>
          <w:color w:val="000000"/>
          <w:sz w:val="28"/>
          <w:szCs w:val="28"/>
        </w:rPr>
        <w:t>В сферата на административно</w:t>
      </w:r>
      <w:r>
        <w:rPr>
          <w:color w:val="000000"/>
          <w:sz w:val="28"/>
          <w:szCs w:val="28"/>
        </w:rPr>
        <w:t>-</w:t>
      </w:r>
      <w:r w:rsidRPr="00A67D4F">
        <w:rPr>
          <w:color w:val="000000"/>
          <w:sz w:val="28"/>
          <w:szCs w:val="28"/>
        </w:rPr>
        <w:t xml:space="preserve">наказателните производства ЕСПЧ приема, че дори незначителни нарушения на правилата за движение по пътищата, които са </w:t>
      </w:r>
      <w:proofErr w:type="spellStart"/>
      <w:r w:rsidRPr="00A67D4F">
        <w:rPr>
          <w:color w:val="000000"/>
          <w:sz w:val="28"/>
          <w:szCs w:val="28"/>
        </w:rPr>
        <w:t>декриминализирани</w:t>
      </w:r>
      <w:proofErr w:type="spellEnd"/>
      <w:r w:rsidRPr="00A67D4F">
        <w:rPr>
          <w:color w:val="000000"/>
          <w:sz w:val="28"/>
          <w:szCs w:val="28"/>
        </w:rPr>
        <w:t xml:space="preserve"> по вътрешното право, могат да бъдат  от наказателен характер по с</w:t>
      </w:r>
      <w:r>
        <w:rPr>
          <w:color w:val="000000"/>
          <w:sz w:val="28"/>
          <w:szCs w:val="28"/>
        </w:rPr>
        <w:t>мисъла на чл. 6 от Конвенцията (</w:t>
      </w:r>
      <w:r w:rsidRPr="00A67D4F">
        <w:rPr>
          <w:color w:val="000000"/>
          <w:sz w:val="28"/>
          <w:szCs w:val="28"/>
        </w:rPr>
        <w:t xml:space="preserve">а следователно и по смисъла на чл. 4 от Протокол № 7, тъй като се влага идентично съдържание в понятието „наказателно обвинение” по двата текста). </w:t>
      </w:r>
      <w:r>
        <w:rPr>
          <w:color w:val="000000"/>
          <w:sz w:val="28"/>
          <w:szCs w:val="28"/>
        </w:rPr>
        <w:t xml:space="preserve">Основен мотив за </w:t>
      </w:r>
      <w:r w:rsidRPr="00A67D4F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кава </w:t>
      </w:r>
      <w:r w:rsidRPr="00A67D4F">
        <w:rPr>
          <w:color w:val="000000"/>
          <w:sz w:val="28"/>
          <w:szCs w:val="28"/>
        </w:rPr>
        <w:t>преценка е насочеността</w:t>
      </w:r>
      <w:r>
        <w:rPr>
          <w:color w:val="000000"/>
          <w:sz w:val="28"/>
          <w:szCs w:val="28"/>
        </w:rPr>
        <w:t xml:space="preserve"> на нормите </w:t>
      </w:r>
      <w:r w:rsidRPr="00A67D4F">
        <w:rPr>
          <w:color w:val="000000"/>
          <w:sz w:val="28"/>
          <w:szCs w:val="28"/>
        </w:rPr>
        <w:t xml:space="preserve"> към всички граждани- т.е подчертано е</w:t>
      </w:r>
      <w:r>
        <w:rPr>
          <w:color w:val="000000"/>
          <w:sz w:val="28"/>
          <w:szCs w:val="28"/>
        </w:rPr>
        <w:t>, че става дума за норми</w:t>
      </w:r>
      <w:r w:rsidRPr="00A67D4F">
        <w:rPr>
          <w:color w:val="000000"/>
          <w:sz w:val="28"/>
          <w:szCs w:val="28"/>
        </w:rPr>
        <w:t xml:space="preserve">, действащи </w:t>
      </w:r>
      <w:proofErr w:type="spellStart"/>
      <w:r w:rsidRPr="00A67D4F">
        <w:rPr>
          <w:color w:val="000000"/>
          <w:sz w:val="28"/>
          <w:szCs w:val="28"/>
          <w:lang w:val="en-US"/>
        </w:rPr>
        <w:t>erga</w:t>
      </w:r>
      <w:proofErr w:type="spellEnd"/>
      <w:r w:rsidRPr="00A67D4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67D4F">
        <w:rPr>
          <w:color w:val="000000"/>
          <w:sz w:val="28"/>
          <w:szCs w:val="28"/>
          <w:lang w:val="en-US"/>
        </w:rPr>
        <w:t>omnes</w:t>
      </w:r>
      <w:proofErr w:type="spellEnd"/>
      <w:r w:rsidRPr="00A67D4F">
        <w:rPr>
          <w:color w:val="000000"/>
          <w:sz w:val="28"/>
          <w:szCs w:val="28"/>
          <w:lang w:val="en-US"/>
        </w:rPr>
        <w:t xml:space="preserve">. </w:t>
      </w:r>
    </w:p>
    <w:p w:rsidR="006C0E8F" w:rsidRDefault="006C0E8F" w:rsidP="006C0E8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особено значение за целите на настоящото тълкувателно дело и последиците му в бъдещата съдебна практика  се явява приетото по делата  </w:t>
      </w:r>
      <w:r w:rsidRPr="00237434">
        <w:rPr>
          <w:b/>
          <w:i/>
          <w:color w:val="000000"/>
          <w:sz w:val="28"/>
          <w:szCs w:val="28"/>
          <w:lang w:val="en-US"/>
        </w:rPr>
        <w:t>Hakka v. Finland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(жалба 758/ 11) </w:t>
      </w:r>
      <w:proofErr w:type="gramStart"/>
      <w:r>
        <w:rPr>
          <w:color w:val="000000"/>
          <w:sz w:val="28"/>
          <w:szCs w:val="28"/>
        </w:rPr>
        <w:t xml:space="preserve">и  </w:t>
      </w:r>
      <w:proofErr w:type="spellStart"/>
      <w:r w:rsidRPr="00237434">
        <w:rPr>
          <w:b/>
          <w:i/>
          <w:color w:val="000000"/>
          <w:sz w:val="28"/>
          <w:szCs w:val="28"/>
          <w:lang w:val="en-US"/>
        </w:rPr>
        <w:t>Hykkanen</w:t>
      </w:r>
      <w:proofErr w:type="spellEnd"/>
      <w:proofErr w:type="gramEnd"/>
      <w:r w:rsidRPr="00237434">
        <w:rPr>
          <w:b/>
          <w:i/>
          <w:color w:val="000000"/>
          <w:sz w:val="28"/>
          <w:szCs w:val="28"/>
          <w:lang w:val="en-US"/>
        </w:rPr>
        <w:t xml:space="preserve"> v. Finland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( жалба 11828/11), че </w:t>
      </w:r>
      <w:r>
        <w:rPr>
          <w:color w:val="000000"/>
          <w:sz w:val="28"/>
          <w:szCs w:val="28"/>
        </w:rPr>
        <w:lastRenderedPageBreak/>
        <w:t>когато се налага санкция за данъчни нарушения по административен ред, производството разкрива белезите на „наказателно обвинение” по смисъла на чл.6 § 1 от ЕКПЧОС и съответно чл.4 от Протокол № 7 е приложим.</w:t>
      </w:r>
    </w:p>
    <w:p w:rsidR="006C0E8F" w:rsidRDefault="006C0E8F" w:rsidP="006C0E8F">
      <w:pPr>
        <w:ind w:firstLine="720"/>
        <w:jc w:val="both"/>
        <w:rPr>
          <w:color w:val="000000"/>
          <w:sz w:val="28"/>
          <w:szCs w:val="28"/>
        </w:rPr>
      </w:pPr>
    </w:p>
    <w:p w:rsidR="006C0E8F" w:rsidRPr="00F01A21" w:rsidRDefault="006C0E8F" w:rsidP="006C0E8F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01A21">
        <w:rPr>
          <w:b/>
          <w:color w:val="000000"/>
          <w:sz w:val="28"/>
          <w:szCs w:val="28"/>
        </w:rPr>
        <w:t>ІІ. Критерии на ЕСПЧ за преценка за идентичност на две производства по смисъла на чл.4 от Протокол № 7.</w:t>
      </w:r>
    </w:p>
    <w:p w:rsidR="006C0E8F" w:rsidRPr="00017A17" w:rsidRDefault="006C0E8F" w:rsidP="006C0E8F">
      <w:pPr>
        <w:ind w:firstLine="720"/>
        <w:jc w:val="both"/>
        <w:rPr>
          <w:color w:val="000000"/>
          <w:sz w:val="28"/>
          <w:szCs w:val="28"/>
        </w:rPr>
      </w:pPr>
    </w:p>
    <w:p w:rsidR="006C0E8F" w:rsidRPr="00017A17" w:rsidRDefault="006C0E8F" w:rsidP="006C0E8F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Определящо за критерия, по който се преценява нарушена ли е забраната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n </w:t>
      </w:r>
      <w:proofErr w:type="spellStart"/>
      <w:r>
        <w:rPr>
          <w:sz w:val="28"/>
          <w:szCs w:val="28"/>
          <w:lang w:val="en-US"/>
        </w:rPr>
        <w:t>bis</w:t>
      </w:r>
      <w:proofErr w:type="spellEnd"/>
      <w:r>
        <w:rPr>
          <w:sz w:val="28"/>
          <w:szCs w:val="28"/>
          <w:lang w:val="en-US"/>
        </w:rPr>
        <w:t xml:space="preserve"> in idem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е решението от 23 октомври 1995 г. по делото </w:t>
      </w:r>
      <w:proofErr w:type="spellStart"/>
      <w:r w:rsidRPr="00017A17">
        <w:rPr>
          <w:b/>
          <w:i/>
          <w:iCs/>
          <w:sz w:val="28"/>
          <w:szCs w:val="28"/>
        </w:rPr>
        <w:t>Градингер</w:t>
      </w:r>
      <w:proofErr w:type="spellEnd"/>
      <w:r w:rsidRPr="00017A17">
        <w:rPr>
          <w:b/>
          <w:i/>
          <w:iCs/>
          <w:sz w:val="28"/>
          <w:szCs w:val="28"/>
        </w:rPr>
        <w:t xml:space="preserve"> срещу Австрия</w:t>
      </w:r>
      <w:r w:rsidRPr="00017A17">
        <w:rPr>
          <w:sz w:val="28"/>
          <w:szCs w:val="28"/>
        </w:rPr>
        <w:t xml:space="preserve"> (</w:t>
      </w:r>
      <w:proofErr w:type="spellStart"/>
      <w:r w:rsidRPr="00017A17">
        <w:rPr>
          <w:i/>
          <w:iCs/>
          <w:sz w:val="28"/>
          <w:szCs w:val="28"/>
        </w:rPr>
        <w:t>Gradinger</w:t>
      </w:r>
      <w:proofErr w:type="spellEnd"/>
      <w:r w:rsidRPr="00017A17">
        <w:rPr>
          <w:i/>
          <w:iCs/>
          <w:sz w:val="28"/>
          <w:szCs w:val="28"/>
        </w:rPr>
        <w:t xml:space="preserve"> v. </w:t>
      </w:r>
      <w:proofErr w:type="spellStart"/>
      <w:r w:rsidRPr="00017A17">
        <w:rPr>
          <w:i/>
          <w:iCs/>
          <w:sz w:val="28"/>
          <w:szCs w:val="28"/>
        </w:rPr>
        <w:t>Austria</w:t>
      </w:r>
      <w:proofErr w:type="spellEnd"/>
      <w:r>
        <w:rPr>
          <w:sz w:val="28"/>
          <w:szCs w:val="28"/>
        </w:rPr>
        <w:t>, A-328-C), Жалба № 15963/90</w:t>
      </w:r>
      <w:r w:rsidRPr="00017A17">
        <w:rPr>
          <w:sz w:val="28"/>
          <w:szCs w:val="28"/>
        </w:rPr>
        <w:t>.</w:t>
      </w:r>
      <w:r>
        <w:rPr>
          <w:sz w:val="28"/>
          <w:szCs w:val="28"/>
        </w:rPr>
        <w:t xml:space="preserve"> Казусът е относно причинено от г-н </w:t>
      </w:r>
      <w:proofErr w:type="spellStart"/>
      <w:r>
        <w:rPr>
          <w:sz w:val="28"/>
          <w:szCs w:val="28"/>
        </w:rPr>
        <w:t>Градингер</w:t>
      </w:r>
      <w:proofErr w:type="spellEnd"/>
      <w:r w:rsidRPr="00017A17">
        <w:rPr>
          <w:sz w:val="28"/>
          <w:szCs w:val="28"/>
        </w:rPr>
        <w:t xml:space="preserve"> пътнотранспортно произшествие, вследствие на което починал велосипедист. </w:t>
      </w:r>
      <w:r>
        <w:rPr>
          <w:sz w:val="28"/>
          <w:szCs w:val="28"/>
        </w:rPr>
        <w:t>Р</w:t>
      </w:r>
      <w:r w:rsidRPr="00017A17">
        <w:rPr>
          <w:sz w:val="28"/>
          <w:szCs w:val="28"/>
        </w:rPr>
        <w:t>айонният съд го осъдил за причиняване на смърт по непредпазливост на глоба</w:t>
      </w:r>
      <w:r>
        <w:rPr>
          <w:sz w:val="28"/>
          <w:szCs w:val="28"/>
        </w:rPr>
        <w:t>, която ако не бъде платена ще се замени с лишаване от свобода за повече от три месеца( 100 дни). Отделно от това, в административно производство общината е наложила административно наказание „глоба” за управление на МПС в нетрезво състояние ,която би могла да бъде заменена</w:t>
      </w:r>
      <w:r w:rsidRPr="00017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лишаване от свобода в продължение на 14 дни. </w:t>
      </w:r>
    </w:p>
    <w:p w:rsidR="006C0E8F" w:rsidRDefault="006C0E8F" w:rsidP="006C0E8F">
      <w:pPr>
        <w:spacing w:line="100" w:lineRule="atLeast"/>
        <w:ind w:left="29" w:firstLine="749"/>
        <w:jc w:val="both"/>
        <w:rPr>
          <w:b/>
          <w:sz w:val="28"/>
          <w:szCs w:val="28"/>
        </w:rPr>
      </w:pPr>
      <w:r w:rsidRPr="0048431E">
        <w:rPr>
          <w:sz w:val="28"/>
          <w:szCs w:val="28"/>
        </w:rPr>
        <w:t xml:space="preserve">Жалбоподателят </w:t>
      </w:r>
      <w:r>
        <w:rPr>
          <w:sz w:val="28"/>
          <w:szCs w:val="28"/>
        </w:rPr>
        <w:t>е твърдял</w:t>
      </w:r>
      <w:r w:rsidRPr="0048431E">
        <w:rPr>
          <w:sz w:val="28"/>
          <w:szCs w:val="28"/>
        </w:rPr>
        <w:t xml:space="preserve">, че е налице наказателно обвинение и по отношение административното нарушение. В тази връзка Съдът подчертава, че съгласно практиката си, определя едно нарушение като “наказателно” по смисъла на Конвенцията, след прилагане на критериите, създадени по делото </w:t>
      </w:r>
      <w:r w:rsidRPr="0048431E">
        <w:rPr>
          <w:b/>
          <w:i/>
          <w:sz w:val="28"/>
          <w:szCs w:val="28"/>
        </w:rPr>
        <w:t xml:space="preserve">Енгел и др. Против Холандия. </w:t>
      </w:r>
      <w:r w:rsidRPr="0048431E">
        <w:rPr>
          <w:sz w:val="28"/>
          <w:szCs w:val="28"/>
        </w:rPr>
        <w:t>ЕСПЧ отбелязва, че макар разпоре</w:t>
      </w:r>
      <w:r>
        <w:rPr>
          <w:sz w:val="28"/>
          <w:szCs w:val="28"/>
        </w:rPr>
        <w:t>дбите да се различават не само по наименованието на нарушенията, но и в природата и целта си (</w:t>
      </w:r>
      <w:r w:rsidRPr="0048431E">
        <w:rPr>
          <w:sz w:val="28"/>
          <w:szCs w:val="28"/>
        </w:rPr>
        <w:t>т.е в обекта на защита), не е следвало да се налагат две отделни наказания, тъй като „</w:t>
      </w:r>
      <w:r w:rsidRPr="0048431E">
        <w:rPr>
          <w:b/>
          <w:bCs/>
          <w:i/>
          <w:iCs/>
          <w:sz w:val="28"/>
          <w:szCs w:val="28"/>
        </w:rPr>
        <w:t>и двете оспорвани съдебни решения се основават на едно и също поведение. Следователно, чл. 4 от Протокол № 7 е бил нарушен</w:t>
      </w:r>
      <w:r w:rsidRPr="0048431E">
        <w:rPr>
          <w:b/>
          <w:bCs/>
          <w:sz w:val="28"/>
          <w:szCs w:val="28"/>
        </w:rPr>
        <w:t>.”</w:t>
      </w:r>
    </w:p>
    <w:p w:rsidR="006C0E8F" w:rsidRPr="00F01A21" w:rsidRDefault="006C0E8F" w:rsidP="006C0E8F">
      <w:pPr>
        <w:spacing w:line="100" w:lineRule="atLeast"/>
        <w:ind w:left="29" w:firstLine="7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01A21">
        <w:rPr>
          <w:sz w:val="28"/>
          <w:szCs w:val="28"/>
        </w:rPr>
        <w:t>Пряко отношение към отговора на поставените в искането въпроси имат</w:t>
      </w:r>
      <w:r w:rsidRPr="00F01A21">
        <w:rPr>
          <w:b/>
          <w:sz w:val="28"/>
          <w:szCs w:val="28"/>
        </w:rPr>
        <w:t xml:space="preserve"> </w:t>
      </w:r>
      <w:r w:rsidRPr="00F01A21">
        <w:rPr>
          <w:sz w:val="28"/>
          <w:szCs w:val="28"/>
        </w:rPr>
        <w:t xml:space="preserve">мотивите  на ЕСПЧ  по  делото </w:t>
      </w:r>
      <w:r w:rsidRPr="00F01A21">
        <w:rPr>
          <w:b/>
          <w:i/>
          <w:sz w:val="28"/>
          <w:szCs w:val="28"/>
        </w:rPr>
        <w:t xml:space="preserve">Сергей </w:t>
      </w:r>
      <w:proofErr w:type="spellStart"/>
      <w:r w:rsidRPr="00F01A21">
        <w:rPr>
          <w:b/>
          <w:i/>
          <w:sz w:val="28"/>
          <w:szCs w:val="28"/>
        </w:rPr>
        <w:t>Золотухин</w:t>
      </w:r>
      <w:proofErr w:type="spellEnd"/>
      <w:r w:rsidRPr="00F01A21">
        <w:rPr>
          <w:b/>
          <w:i/>
          <w:sz w:val="28"/>
          <w:szCs w:val="28"/>
        </w:rPr>
        <w:t xml:space="preserve"> срещу Русия</w:t>
      </w:r>
      <w:r>
        <w:rPr>
          <w:sz w:val="28"/>
          <w:szCs w:val="28"/>
        </w:rPr>
        <w:t xml:space="preserve"> (</w:t>
      </w:r>
      <w:proofErr w:type="spellStart"/>
      <w:r w:rsidRPr="00F01A21">
        <w:rPr>
          <w:i/>
          <w:iCs/>
          <w:sz w:val="28"/>
          <w:szCs w:val="28"/>
        </w:rPr>
        <w:t>Sergey</w:t>
      </w:r>
      <w:proofErr w:type="spellEnd"/>
      <w:r w:rsidRPr="00F01A21">
        <w:rPr>
          <w:i/>
          <w:iCs/>
          <w:sz w:val="28"/>
          <w:szCs w:val="28"/>
        </w:rPr>
        <w:t xml:space="preserve"> </w:t>
      </w:r>
      <w:proofErr w:type="spellStart"/>
      <w:r w:rsidRPr="00F01A21">
        <w:rPr>
          <w:i/>
          <w:iCs/>
          <w:sz w:val="28"/>
          <w:szCs w:val="28"/>
        </w:rPr>
        <w:t>Zolotukhin</w:t>
      </w:r>
      <w:proofErr w:type="spellEnd"/>
      <w:r w:rsidRPr="00F01A21">
        <w:rPr>
          <w:i/>
          <w:iCs/>
          <w:sz w:val="28"/>
          <w:szCs w:val="28"/>
        </w:rPr>
        <w:t xml:space="preserve"> v. </w:t>
      </w:r>
      <w:proofErr w:type="spellStart"/>
      <w:r w:rsidRPr="00F01A21">
        <w:rPr>
          <w:i/>
          <w:iCs/>
          <w:sz w:val="28"/>
          <w:szCs w:val="28"/>
        </w:rPr>
        <w:t>Russia</w:t>
      </w:r>
      <w:proofErr w:type="spellEnd"/>
      <w:r>
        <w:rPr>
          <w:i/>
          <w:iCs/>
          <w:sz w:val="28"/>
          <w:szCs w:val="28"/>
        </w:rPr>
        <w:t xml:space="preserve"> -</w:t>
      </w:r>
      <w:r w:rsidRPr="00F01A21">
        <w:rPr>
          <w:i/>
          <w:iCs/>
          <w:sz w:val="28"/>
          <w:szCs w:val="28"/>
        </w:rPr>
        <w:t xml:space="preserve"> </w:t>
      </w:r>
      <w:r w:rsidRPr="00F01A21">
        <w:rPr>
          <w:sz w:val="28"/>
          <w:szCs w:val="28"/>
        </w:rPr>
        <w:t xml:space="preserve">жалба № 14939/03). Те очертават основанията да се приложи забраната </w:t>
      </w:r>
      <w:r w:rsidRPr="00F01A21">
        <w:rPr>
          <w:sz w:val="28"/>
          <w:szCs w:val="28"/>
          <w:lang w:val="en-US"/>
        </w:rPr>
        <w:t xml:space="preserve">non </w:t>
      </w:r>
      <w:proofErr w:type="spellStart"/>
      <w:r w:rsidRPr="00F01A21">
        <w:rPr>
          <w:sz w:val="28"/>
          <w:szCs w:val="28"/>
          <w:lang w:val="en-US"/>
        </w:rPr>
        <w:t>bis</w:t>
      </w:r>
      <w:proofErr w:type="spellEnd"/>
      <w:r w:rsidRPr="00F01A21">
        <w:rPr>
          <w:sz w:val="28"/>
          <w:szCs w:val="28"/>
          <w:lang w:val="en-US"/>
        </w:rPr>
        <w:t xml:space="preserve"> in idem </w:t>
      </w:r>
      <w:r w:rsidRPr="00F01A21">
        <w:rPr>
          <w:sz w:val="28"/>
          <w:szCs w:val="28"/>
        </w:rPr>
        <w:t>и категорично подчертават, че тя е приложима не само при повторно съде</w:t>
      </w:r>
      <w:r>
        <w:rPr>
          <w:sz w:val="28"/>
          <w:szCs w:val="28"/>
        </w:rPr>
        <w:t xml:space="preserve">не или наказване </w:t>
      </w:r>
      <w:r w:rsidRPr="00F01A21">
        <w:rPr>
          <w:sz w:val="28"/>
          <w:szCs w:val="28"/>
        </w:rPr>
        <w:t xml:space="preserve"> за едно и също нарушение. Съдът заявява категорично, че принципът </w:t>
      </w:r>
      <w:r w:rsidRPr="00F01A21">
        <w:rPr>
          <w:sz w:val="28"/>
          <w:szCs w:val="28"/>
          <w:lang w:val="en-US"/>
        </w:rPr>
        <w:t xml:space="preserve">non </w:t>
      </w:r>
      <w:proofErr w:type="spellStart"/>
      <w:r w:rsidRPr="00F01A21">
        <w:rPr>
          <w:sz w:val="28"/>
          <w:szCs w:val="28"/>
          <w:lang w:val="en-US"/>
        </w:rPr>
        <w:t>bis</w:t>
      </w:r>
      <w:proofErr w:type="spellEnd"/>
      <w:r w:rsidRPr="00F01A21">
        <w:rPr>
          <w:sz w:val="28"/>
          <w:szCs w:val="28"/>
          <w:lang w:val="en-US"/>
        </w:rPr>
        <w:t xml:space="preserve"> in idem </w:t>
      </w:r>
      <w:r w:rsidRPr="00F01A21">
        <w:rPr>
          <w:sz w:val="28"/>
          <w:szCs w:val="28"/>
        </w:rPr>
        <w:t xml:space="preserve">е изцяло приложим  не само в </w:t>
      </w:r>
      <w:r w:rsidRPr="00F01A21">
        <w:rPr>
          <w:sz w:val="28"/>
          <w:szCs w:val="28"/>
          <w:lang w:val="en-US"/>
        </w:rPr>
        <w:t xml:space="preserve"> </w:t>
      </w:r>
      <w:r w:rsidRPr="00F01A21">
        <w:rPr>
          <w:sz w:val="28"/>
          <w:szCs w:val="28"/>
        </w:rPr>
        <w:t xml:space="preserve">идентичните нарушения, но и при всички тези, които на са идентични, </w:t>
      </w:r>
      <w:r w:rsidRPr="00F01A21">
        <w:rPr>
          <w:b/>
          <w:sz w:val="28"/>
          <w:szCs w:val="28"/>
        </w:rPr>
        <w:t>но имат едни и същи фактически елементи</w:t>
      </w:r>
      <w:r w:rsidRPr="00F01A21">
        <w:rPr>
          <w:sz w:val="28"/>
          <w:szCs w:val="28"/>
        </w:rPr>
        <w:t>.</w:t>
      </w:r>
      <w:r w:rsidRPr="00F01A21">
        <w:rPr>
          <w:sz w:val="28"/>
          <w:szCs w:val="28"/>
          <w:lang w:val="en-US"/>
        </w:rPr>
        <w:t xml:space="preserve">   </w:t>
      </w:r>
    </w:p>
    <w:p w:rsidR="006C0E8F" w:rsidRPr="00F01A21" w:rsidRDefault="006C0E8F" w:rsidP="006C0E8F">
      <w:pPr>
        <w:jc w:val="both"/>
        <w:rPr>
          <w:b/>
          <w:i/>
          <w:iCs/>
          <w:sz w:val="28"/>
          <w:szCs w:val="28"/>
        </w:rPr>
      </w:pPr>
      <w:r w:rsidRPr="00F01A21">
        <w:rPr>
          <w:i/>
          <w:iCs/>
          <w:sz w:val="28"/>
          <w:szCs w:val="28"/>
        </w:rPr>
        <w:tab/>
        <w:t xml:space="preserve">"82. Съдът счита, че член 4 от Протокол № 7 трябва да се тълкува в смисъл,  че забранява повдигането на обвинение и предаването на съд за второ "престъпление" в частта, която се разкриват </w:t>
      </w:r>
      <w:r w:rsidRPr="00F01A21">
        <w:rPr>
          <w:b/>
          <w:i/>
          <w:iCs/>
          <w:sz w:val="28"/>
          <w:szCs w:val="28"/>
        </w:rPr>
        <w:t>идентични факти и обстоятелства, които по същностните си елементи са едни и същи.</w:t>
      </w:r>
    </w:p>
    <w:p w:rsidR="006C0E8F" w:rsidRPr="00F01A21" w:rsidRDefault="006C0E8F" w:rsidP="006C0E8F">
      <w:pPr>
        <w:jc w:val="both"/>
        <w:rPr>
          <w:b/>
          <w:i/>
          <w:iCs/>
          <w:sz w:val="28"/>
          <w:szCs w:val="28"/>
        </w:rPr>
      </w:pPr>
      <w:r w:rsidRPr="00F01A21">
        <w:rPr>
          <w:i/>
          <w:iCs/>
          <w:sz w:val="28"/>
          <w:szCs w:val="28"/>
        </w:rPr>
        <w:tab/>
        <w:t xml:space="preserve">83. Гаранцията,  заложена в член 4 от Протокол № 7 при образуване на ново  наказателно преследване се прилага в случаите, когато за същото деяние е налице влязла в сила оправдателна или осъдителна присъда. В този </w:t>
      </w:r>
      <w:r w:rsidRPr="00F01A21">
        <w:rPr>
          <w:i/>
          <w:iCs/>
          <w:sz w:val="28"/>
          <w:szCs w:val="28"/>
        </w:rPr>
        <w:lastRenderedPageBreak/>
        <w:t xml:space="preserve">момент </w:t>
      </w:r>
      <w:proofErr w:type="spellStart"/>
      <w:r w:rsidRPr="00F01A21">
        <w:rPr>
          <w:i/>
          <w:iCs/>
          <w:sz w:val="28"/>
          <w:szCs w:val="28"/>
        </w:rPr>
        <w:t>относимите</w:t>
      </w:r>
      <w:proofErr w:type="spellEnd"/>
      <w:r w:rsidRPr="00F01A21">
        <w:rPr>
          <w:i/>
          <w:iCs/>
          <w:sz w:val="28"/>
          <w:szCs w:val="28"/>
        </w:rPr>
        <w:t xml:space="preserve"> документи във всички случаи съдържат информация за решението, с което е приключена първата "наказателна процедура", както и описание на обвиненията, отправени срещу жалбоподателя в новото производство. Обичайно тези документи съдържат изложение на фактите, отнасящи се както за престъплението, за което жалбоподателят вече е бил съден, така и изложение на фактите за престъплението, за което той или тя отново е обвинен. По мнение на Съда, тези фактически твърдения са подходяща отправна точка за решаването на въпроса дали фактите в двете производства са идентични или по същностните си елементи са едни и същи. </w:t>
      </w:r>
      <w:r w:rsidRPr="00F01A21">
        <w:rPr>
          <w:b/>
          <w:i/>
          <w:iCs/>
          <w:sz w:val="28"/>
          <w:szCs w:val="28"/>
        </w:rPr>
        <w:t>Съдът подчертава, че е без значение кои части от новите обвинения са в крайна сметка уважени или отхвърлени в следващото производство, тъй като член 4 от Протокол № 7 съдържа предпазна мярка срещу повторно съдене и осъждане, а не просто забрана за второ осъждане.”</w:t>
      </w:r>
    </w:p>
    <w:p w:rsidR="006C0E8F" w:rsidRPr="00F01A21" w:rsidRDefault="006C0E8F" w:rsidP="006C0E8F">
      <w:pPr>
        <w:jc w:val="both"/>
        <w:rPr>
          <w:b/>
          <w:i/>
          <w:iCs/>
          <w:sz w:val="28"/>
          <w:szCs w:val="28"/>
        </w:rPr>
      </w:pPr>
    </w:p>
    <w:p w:rsidR="006C0E8F" w:rsidRPr="00F01A21" w:rsidRDefault="006C0E8F" w:rsidP="006C0E8F">
      <w:pPr>
        <w:jc w:val="both"/>
        <w:rPr>
          <w:i/>
          <w:iCs/>
          <w:sz w:val="28"/>
          <w:szCs w:val="28"/>
        </w:rPr>
      </w:pPr>
      <w:r w:rsidRPr="00F01A21">
        <w:rPr>
          <w:b/>
          <w:i/>
          <w:iCs/>
          <w:sz w:val="28"/>
          <w:szCs w:val="28"/>
        </w:rPr>
        <w:t xml:space="preserve">           </w:t>
      </w:r>
      <w:r w:rsidRPr="00F01A21">
        <w:rPr>
          <w:iCs/>
          <w:sz w:val="28"/>
          <w:szCs w:val="28"/>
        </w:rPr>
        <w:t xml:space="preserve">Последният абзац от решението по делото </w:t>
      </w:r>
      <w:proofErr w:type="spellStart"/>
      <w:r w:rsidRPr="00F01A21">
        <w:rPr>
          <w:b/>
          <w:i/>
          <w:iCs/>
          <w:sz w:val="28"/>
          <w:szCs w:val="28"/>
        </w:rPr>
        <w:t>Sergey</w:t>
      </w:r>
      <w:proofErr w:type="spellEnd"/>
      <w:r w:rsidRPr="00F01A21">
        <w:rPr>
          <w:b/>
          <w:i/>
          <w:iCs/>
          <w:sz w:val="28"/>
          <w:szCs w:val="28"/>
        </w:rPr>
        <w:t xml:space="preserve"> </w:t>
      </w:r>
      <w:proofErr w:type="spellStart"/>
      <w:r w:rsidRPr="00F01A21">
        <w:rPr>
          <w:b/>
          <w:i/>
          <w:iCs/>
          <w:sz w:val="28"/>
          <w:szCs w:val="28"/>
        </w:rPr>
        <w:t>Zolotukhin</w:t>
      </w:r>
      <w:proofErr w:type="spellEnd"/>
      <w:r w:rsidRPr="00F01A21">
        <w:rPr>
          <w:b/>
          <w:i/>
          <w:iCs/>
          <w:sz w:val="28"/>
          <w:szCs w:val="28"/>
        </w:rPr>
        <w:t xml:space="preserve"> v. </w:t>
      </w:r>
      <w:proofErr w:type="spellStart"/>
      <w:r w:rsidRPr="00F01A21">
        <w:rPr>
          <w:b/>
          <w:i/>
          <w:iCs/>
          <w:sz w:val="28"/>
          <w:szCs w:val="28"/>
        </w:rPr>
        <w:t>Russia</w:t>
      </w:r>
      <w:proofErr w:type="spellEnd"/>
      <w:r w:rsidRPr="00F01A21">
        <w:rPr>
          <w:iCs/>
          <w:sz w:val="28"/>
          <w:szCs w:val="28"/>
        </w:rPr>
        <w:t xml:space="preserve">  съдържа отговор и на въпроса дали възможността за </w:t>
      </w:r>
      <w:proofErr w:type="spellStart"/>
      <w:r w:rsidRPr="00F01A21">
        <w:rPr>
          <w:iCs/>
          <w:sz w:val="28"/>
          <w:szCs w:val="28"/>
        </w:rPr>
        <w:t>последващо</w:t>
      </w:r>
      <w:proofErr w:type="spellEnd"/>
      <w:r w:rsidRPr="00F01A21">
        <w:rPr>
          <w:iCs/>
          <w:sz w:val="28"/>
          <w:szCs w:val="28"/>
        </w:rPr>
        <w:t xml:space="preserve"> възобновяване на едно от наказателните производства, водени по едни и същи факти, е достатъчно ефикасно средство, за да бъде отстранено нарушението на забраната за</w:t>
      </w:r>
      <w:r>
        <w:rPr>
          <w:iCs/>
          <w:sz w:val="28"/>
          <w:szCs w:val="28"/>
        </w:rPr>
        <w:t xml:space="preserve"> повторно о</w:t>
      </w:r>
      <w:r w:rsidRPr="00F01A21">
        <w:rPr>
          <w:iCs/>
          <w:sz w:val="28"/>
          <w:szCs w:val="28"/>
        </w:rPr>
        <w:t>съждане.</w:t>
      </w:r>
      <w:r w:rsidRPr="00F01A21">
        <w:rPr>
          <w:i/>
          <w:iCs/>
          <w:sz w:val="28"/>
          <w:szCs w:val="28"/>
        </w:rPr>
        <w:t xml:space="preserve">    </w:t>
      </w:r>
    </w:p>
    <w:p w:rsidR="006C0E8F" w:rsidRPr="00F01A21" w:rsidRDefault="006C0E8F" w:rsidP="006C0E8F">
      <w:pPr>
        <w:jc w:val="both"/>
        <w:rPr>
          <w:iCs/>
          <w:sz w:val="28"/>
          <w:szCs w:val="28"/>
        </w:rPr>
      </w:pPr>
      <w:r w:rsidRPr="00F01A21">
        <w:rPr>
          <w:i/>
          <w:iCs/>
          <w:sz w:val="28"/>
          <w:szCs w:val="28"/>
        </w:rPr>
        <w:t xml:space="preserve">           </w:t>
      </w:r>
      <w:r w:rsidRPr="00F01A21">
        <w:rPr>
          <w:iCs/>
          <w:sz w:val="28"/>
          <w:szCs w:val="28"/>
        </w:rPr>
        <w:t>Отговорът е отрицателен и  аргументите  в негова подкрепа са не само в двете форми на забраната по чл. 4 § 1 от Протокол № 7</w:t>
      </w:r>
      <w:r>
        <w:rPr>
          <w:iCs/>
          <w:sz w:val="28"/>
          <w:szCs w:val="28"/>
        </w:rPr>
        <w:t xml:space="preserve"> </w:t>
      </w:r>
      <w:r w:rsidRPr="006C0E8F">
        <w:rPr>
          <w:b/>
          <w:iCs/>
          <w:sz w:val="28"/>
          <w:szCs w:val="28"/>
        </w:rPr>
        <w:t>-</w:t>
      </w:r>
      <w:r w:rsidRPr="00F01A21">
        <w:rPr>
          <w:iCs/>
          <w:sz w:val="28"/>
          <w:szCs w:val="28"/>
        </w:rPr>
        <w:t xml:space="preserve"> „съден </w:t>
      </w:r>
      <w:r w:rsidRPr="00F01A21">
        <w:rPr>
          <w:b/>
          <w:iCs/>
          <w:sz w:val="28"/>
          <w:szCs w:val="28"/>
        </w:rPr>
        <w:t xml:space="preserve">или </w:t>
      </w:r>
      <w:r>
        <w:rPr>
          <w:iCs/>
          <w:sz w:val="28"/>
          <w:szCs w:val="28"/>
        </w:rPr>
        <w:t xml:space="preserve">наказан”. </w:t>
      </w:r>
      <w:r w:rsidRPr="00F01A21">
        <w:rPr>
          <w:iCs/>
          <w:sz w:val="28"/>
          <w:szCs w:val="28"/>
        </w:rPr>
        <w:t>Те се намират и в правилото на §2, което допуска възобновяването</w:t>
      </w:r>
      <w:r>
        <w:rPr>
          <w:iCs/>
          <w:sz w:val="28"/>
          <w:szCs w:val="28"/>
        </w:rPr>
        <w:t xml:space="preserve"> в качеството му на </w:t>
      </w:r>
      <w:r w:rsidRPr="00F01A21">
        <w:rPr>
          <w:iCs/>
          <w:sz w:val="28"/>
          <w:szCs w:val="28"/>
        </w:rPr>
        <w:t>средство, което е в състояние да отмени несправедливо наказание, но не и като средство, което може да коригира факта на повторното „съдене”. Забраната за предаване на съд и провеждане на съдебен процес за едни и същи факти е абсолютна и е независима от крайния изход- прекратяване на делото или оправдаване. Фактът на повторното „съдене”  не може да се „</w:t>
      </w:r>
      <w:proofErr w:type="spellStart"/>
      <w:r w:rsidRPr="00F01A21">
        <w:rPr>
          <w:iCs/>
          <w:sz w:val="28"/>
          <w:szCs w:val="28"/>
        </w:rPr>
        <w:t>санира</w:t>
      </w:r>
      <w:proofErr w:type="spellEnd"/>
      <w:r w:rsidRPr="00F01A21">
        <w:rPr>
          <w:iCs/>
          <w:sz w:val="28"/>
          <w:szCs w:val="28"/>
        </w:rPr>
        <w:t>” чрез възобновяване на производството.</w:t>
      </w:r>
    </w:p>
    <w:p w:rsidR="006C0E8F" w:rsidRDefault="006C0E8F" w:rsidP="006C0E8F">
      <w:pPr>
        <w:jc w:val="both"/>
        <w:rPr>
          <w:iCs/>
          <w:sz w:val="28"/>
          <w:szCs w:val="28"/>
        </w:rPr>
      </w:pPr>
    </w:p>
    <w:p w:rsidR="006C0E8F" w:rsidRDefault="006C0E8F" w:rsidP="006C0E8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 По делото </w:t>
      </w:r>
      <w:r w:rsidRPr="00AF5D5A">
        <w:rPr>
          <w:b/>
          <w:i/>
          <w:iCs/>
          <w:sz w:val="28"/>
          <w:szCs w:val="28"/>
        </w:rPr>
        <w:t>Цоньо Цонев против България</w:t>
      </w:r>
      <w:r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(жалба 2376/2003) с Решение от 14.01.2010 ЕСПЧ приема, че осъждането на глоба по общинската наредба за опазване на обществения ред за разбиване на врата на жилище и нанасяне побой на собственика му изключва възможността за същото деяние извършителят да бъде осъден за нанасяне на средна телесна повреда по чл. 129 от НК. Наложената административна глоба в размер на 50 лева е приета за вид „наказателна санкция”, независимо, че не е тежка и не е </w:t>
      </w:r>
      <w:proofErr w:type="spellStart"/>
      <w:r>
        <w:rPr>
          <w:iCs/>
          <w:sz w:val="28"/>
          <w:szCs w:val="28"/>
        </w:rPr>
        <w:t>заменима</w:t>
      </w:r>
      <w:proofErr w:type="spellEnd"/>
      <w:r>
        <w:rPr>
          <w:iCs/>
          <w:sz w:val="28"/>
          <w:szCs w:val="28"/>
        </w:rPr>
        <w:t xml:space="preserve"> с „лишаване от свобода”. И независимо, че наредбата е насочена към опазване на обществения ред, а чл.129 от НК защитава личната неприкосновеност на гражданите, едни и същи идентични факти са формирали състава на административното нарушение и състава на престъплението. Акцентът в решението на ЕСПЧ е поставен върху повторното образуване на наказателното производство по НК след като административното наказание е </w:t>
      </w:r>
      <w:r>
        <w:rPr>
          <w:iCs/>
          <w:sz w:val="28"/>
          <w:szCs w:val="28"/>
        </w:rPr>
        <w:lastRenderedPageBreak/>
        <w:t xml:space="preserve">наложено с влязъл в сила съдебен акт. Съдът заявява, че оправдаването по част от наказателните обвинения по НК е без правно значение, след като националният съд не е взел предвид факта на наложеното вече административно наказание за същите факти. Тук категорично са отречени всички доводи за идеална съвкупност между административното нарушение и престъплението по НК, различните обекти на защита в административно-наказателното и в наказателното производство. </w:t>
      </w:r>
    </w:p>
    <w:p w:rsidR="006C0E8F" w:rsidRDefault="006C0E8F" w:rsidP="006C0E8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Изводите от делото </w:t>
      </w:r>
      <w:r w:rsidRPr="006974B4">
        <w:rPr>
          <w:b/>
          <w:i/>
          <w:iCs/>
          <w:sz w:val="28"/>
          <w:szCs w:val="28"/>
        </w:rPr>
        <w:t>Цоньо Цонев</w:t>
      </w:r>
      <w:r>
        <w:rPr>
          <w:iCs/>
          <w:sz w:val="28"/>
          <w:szCs w:val="28"/>
        </w:rPr>
        <w:t xml:space="preserve"> в светлината на даденото от ЕСПЧ тълкуване на производството за налагане на административни наказания са следните :</w:t>
      </w:r>
    </w:p>
    <w:p w:rsidR="006C0E8F" w:rsidRDefault="006C0E8F" w:rsidP="006C0E8F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Административно-наказателното производство у нас  е „наказателно” по смисъла на чл. 6§ 1 от Конвенцията;</w:t>
      </w:r>
    </w:p>
    <w:p w:rsidR="006C0E8F" w:rsidRDefault="006C0E8F" w:rsidP="006C0E8F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Невъзможно е в такъв случай налагане на две отделни по вид и характер наказания за деяние, което осъществява белезите и на административно нарушение, и на престъпление;</w:t>
      </w:r>
    </w:p>
    <w:p w:rsidR="006C0E8F" w:rsidRDefault="006C0E8F" w:rsidP="006C0E8F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може да се говори за идеална съвкупност в описания по-горе случай  според стандартите на ЕСПЧ;    </w:t>
      </w:r>
    </w:p>
    <w:p w:rsidR="006C0E8F" w:rsidRDefault="006C0E8F" w:rsidP="006C0E8F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 xml:space="preserve">Res </w:t>
      </w:r>
      <w:proofErr w:type="spellStart"/>
      <w:r>
        <w:rPr>
          <w:iCs/>
          <w:sz w:val="28"/>
          <w:szCs w:val="28"/>
          <w:lang w:val="en-US"/>
        </w:rPr>
        <w:t>judicata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се формира по включените в обвинението факти, а не по правната квалификация, дадена на деянието;</w:t>
      </w:r>
    </w:p>
    <w:p w:rsidR="006C0E8F" w:rsidRDefault="006C0E8F" w:rsidP="006C0E8F">
      <w:pPr>
        <w:ind w:left="990"/>
        <w:jc w:val="both"/>
        <w:rPr>
          <w:iCs/>
          <w:sz w:val="28"/>
          <w:szCs w:val="28"/>
        </w:rPr>
      </w:pPr>
    </w:p>
    <w:p w:rsidR="006C0E8F" w:rsidRPr="00017A17" w:rsidRDefault="006C0E8F" w:rsidP="006C0E8F">
      <w:pPr>
        <w:jc w:val="both"/>
        <w:rPr>
          <w:color w:val="000000"/>
        </w:rPr>
      </w:pPr>
      <w:r w:rsidRPr="00571AD7">
        <w:rPr>
          <w:i/>
          <w:iCs/>
        </w:rPr>
        <w:tab/>
      </w:r>
    </w:p>
    <w:p w:rsidR="006C0E8F" w:rsidRDefault="006C0E8F" w:rsidP="006C0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920">
        <w:t xml:space="preserve">             </w:t>
      </w:r>
      <w:r w:rsidRPr="0013004C">
        <w:rPr>
          <w:sz w:val="28"/>
          <w:szCs w:val="28"/>
        </w:rPr>
        <w:t>В</w:t>
      </w:r>
      <w:r>
        <w:rPr>
          <w:sz w:val="28"/>
          <w:szCs w:val="28"/>
        </w:rPr>
        <w:t>ъз основа на изложеното, Висшият адвокатски съвет намира, че  отговорите, които следва да бъдат дадени чрез исканото тълкуване, са следните :</w:t>
      </w:r>
    </w:p>
    <w:p w:rsidR="006C0E8F" w:rsidRDefault="006C0E8F" w:rsidP="006C0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8F" w:rsidRDefault="006C0E8F" w:rsidP="006C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Налице са основания за промяна на  </w:t>
      </w:r>
      <w:r w:rsidRPr="00EC3DD1">
        <w:rPr>
          <w:sz w:val="28"/>
          <w:szCs w:val="28"/>
        </w:rPr>
        <w:t>тълкуването</w:t>
      </w:r>
      <w:r>
        <w:rPr>
          <w:sz w:val="28"/>
          <w:szCs w:val="28"/>
        </w:rPr>
        <w:t>,</w:t>
      </w:r>
      <w:r w:rsidRPr="00EC3DD1">
        <w:rPr>
          <w:sz w:val="28"/>
          <w:szCs w:val="28"/>
        </w:rPr>
        <w:t xml:space="preserve"> дадено с ТР № 85</w:t>
      </w:r>
      <w:r>
        <w:rPr>
          <w:sz w:val="28"/>
          <w:szCs w:val="28"/>
        </w:rPr>
        <w:t xml:space="preserve"> от 01.11.1966 г. на ОСНК на ВС?</w:t>
      </w:r>
      <w:r w:rsidRPr="00EC3DD1">
        <w:rPr>
          <w:sz w:val="28"/>
          <w:szCs w:val="28"/>
        </w:rPr>
        <w:t xml:space="preserve"> </w:t>
      </w:r>
    </w:p>
    <w:p w:rsidR="006C0E8F" w:rsidRPr="00EC3DD1" w:rsidRDefault="006C0E8F" w:rsidP="006C0E8F">
      <w:pPr>
        <w:jc w:val="both"/>
        <w:rPr>
          <w:sz w:val="28"/>
          <w:szCs w:val="28"/>
        </w:rPr>
      </w:pPr>
    </w:p>
    <w:p w:rsidR="006C0E8F" w:rsidRDefault="006C0E8F" w:rsidP="006C0E8F">
      <w:pPr>
        <w:jc w:val="both"/>
        <w:rPr>
          <w:sz w:val="28"/>
          <w:szCs w:val="28"/>
        </w:rPr>
      </w:pPr>
      <w:r w:rsidRPr="00EC3DD1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 xml:space="preserve">Наказателното производство, образувано против лице, по отношение на което е проведено административно-наказателно производство за същото деяние, завършило  с влязъл в сила акт, подлежи на прекратяване по чл.24 ал.1 т.6 от НПК, тъй като силата на </w:t>
      </w:r>
      <w:proofErr w:type="spellStart"/>
      <w:r>
        <w:rPr>
          <w:sz w:val="28"/>
          <w:szCs w:val="28"/>
        </w:rPr>
        <w:t>пресъдено</w:t>
      </w:r>
      <w:proofErr w:type="spellEnd"/>
      <w:r>
        <w:rPr>
          <w:sz w:val="28"/>
          <w:szCs w:val="28"/>
        </w:rPr>
        <w:t xml:space="preserve"> нещо се формира  вследствие на </w:t>
      </w:r>
      <w:proofErr w:type="spellStart"/>
      <w:r>
        <w:rPr>
          <w:sz w:val="28"/>
          <w:szCs w:val="28"/>
        </w:rPr>
        <w:t>необжалваемостта</w:t>
      </w:r>
      <w:proofErr w:type="spellEnd"/>
      <w:r>
        <w:rPr>
          <w:sz w:val="28"/>
          <w:szCs w:val="28"/>
        </w:rPr>
        <w:t xml:space="preserve"> на решението по конкретните фактически обстоятелства.</w:t>
      </w:r>
    </w:p>
    <w:p w:rsidR="006C0E8F" w:rsidRDefault="006C0E8F" w:rsidP="006C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Двойното наказване на едно и също лице първо в административно- наказателно и след това в наказателно производство се преодолява чрез прекратяване на по</w:t>
      </w:r>
      <w:r w:rsidRPr="006C0E8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късно образуваното наказателно производство. В случаите, в които е допуснато двойно наказание </w:t>
      </w:r>
      <w:r w:rsidRPr="006C0E8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 влязъл в сила акт за налагане на административно наказание и присъда за наложено наказание по НК, прекратяването на наказателното производство следва да се осъществи след възобновяване на второто по време производство </w:t>
      </w:r>
      <w:r w:rsidRPr="006C0E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наказателното, тъй като забраната по чл. 4 от Протокол № 7 е за повторно „съдене”.</w:t>
      </w:r>
    </w:p>
    <w:p w:rsidR="006C0E8F" w:rsidRDefault="006C0E8F" w:rsidP="006C0E8F">
      <w:pPr>
        <w:jc w:val="both"/>
        <w:rPr>
          <w:sz w:val="28"/>
          <w:szCs w:val="28"/>
        </w:rPr>
      </w:pPr>
    </w:p>
    <w:p w:rsidR="006C0E8F" w:rsidRPr="00123518" w:rsidRDefault="006C0E8F" w:rsidP="006C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Pr="00123518">
        <w:rPr>
          <w:sz w:val="28"/>
          <w:szCs w:val="28"/>
        </w:rPr>
        <w:t xml:space="preserve">Налице  са основания за промяна на тълкуването дадено с ТР № 46 от 16.10.1979 г. по </w:t>
      </w:r>
      <w:r>
        <w:rPr>
          <w:sz w:val="28"/>
          <w:szCs w:val="28"/>
        </w:rPr>
        <w:t>н.д. № 36/1979 г. на ОСНК на ВС?</w:t>
      </w:r>
      <w:r w:rsidRPr="00123518">
        <w:rPr>
          <w:sz w:val="28"/>
          <w:szCs w:val="28"/>
        </w:rPr>
        <w:t xml:space="preserve"> </w:t>
      </w:r>
    </w:p>
    <w:p w:rsidR="006C0E8F" w:rsidRPr="00123518" w:rsidRDefault="006C0E8F" w:rsidP="006C0E8F">
      <w:pPr>
        <w:jc w:val="both"/>
        <w:rPr>
          <w:sz w:val="28"/>
          <w:szCs w:val="28"/>
        </w:rPr>
      </w:pPr>
      <w:r w:rsidRPr="00123518">
        <w:rPr>
          <w:sz w:val="28"/>
          <w:szCs w:val="28"/>
        </w:rPr>
        <w:tab/>
        <w:t>2.1.</w:t>
      </w:r>
      <w:r>
        <w:rPr>
          <w:sz w:val="28"/>
          <w:szCs w:val="28"/>
        </w:rPr>
        <w:t xml:space="preserve"> Недопустимо е </w:t>
      </w:r>
      <w:r w:rsidRPr="00123518">
        <w:rPr>
          <w:sz w:val="28"/>
          <w:szCs w:val="28"/>
        </w:rPr>
        <w:t>районният съд</w:t>
      </w:r>
      <w:r>
        <w:rPr>
          <w:sz w:val="28"/>
          <w:szCs w:val="28"/>
        </w:rPr>
        <w:t>,</w:t>
      </w:r>
      <w:r w:rsidRPr="00123518">
        <w:rPr>
          <w:sz w:val="28"/>
          <w:szCs w:val="28"/>
        </w:rPr>
        <w:t xml:space="preserve"> разглеждащ обвинение за престъпление по НК, да оправдае подсъдимия и да наложи на подсъдимия административно наказание, ако приеме, че не са налице основания за постановяване на осъдителна присъда, но констатира, че има достатъчно доказателства за административно нарушение. </w:t>
      </w:r>
    </w:p>
    <w:p w:rsidR="006C0E8F" w:rsidRDefault="006C0E8F" w:rsidP="006C0E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Така формулираният въпрос се отклонява от контекста на ТР 46/ 79 на ОСНК на ВС. В зададения глобален контекст отговорът е отрицателен поради обстоятелството,че административно - наказателното производство има специално уредена процедура и правила, които не могат да бъдат заместени от едноличното действия на съдията, приел, че не е налице престъпление. Районният съдия  в едноличен състав е </w:t>
      </w:r>
      <w:proofErr w:type="spellStart"/>
      <w:r>
        <w:rPr>
          <w:sz w:val="28"/>
          <w:szCs w:val="28"/>
        </w:rPr>
        <w:t>въззивна</w:t>
      </w:r>
      <w:proofErr w:type="spellEnd"/>
      <w:r>
        <w:rPr>
          <w:sz w:val="28"/>
          <w:szCs w:val="28"/>
        </w:rPr>
        <w:t xml:space="preserve"> инстанция по административно </w:t>
      </w:r>
      <w:r w:rsidRPr="006C0E8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наказателните производства, а административно-наказващите органи са посочени в множество отделни закони.</w:t>
      </w:r>
    </w:p>
    <w:p w:rsidR="006C0E8F" w:rsidRDefault="006C0E8F" w:rsidP="006C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Районният съдия, разглеждащ обвинение в престъпление по чл. 325 от НК, не може след оправдаване на подсъдимия, да наложи наказание по УБДХ, в случай, че са налице основанията за това, нито който и да е състав на съда след издаване на оправдателна присъда по чл. 325 от НК може да изпрати делото като преписка на съответния, компетентен  по чл.4 от УБДХ съдия. </w:t>
      </w:r>
    </w:p>
    <w:p w:rsidR="006C0E8F" w:rsidRDefault="006C0E8F" w:rsidP="006C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E8F" w:rsidRPr="006D114E" w:rsidRDefault="006C0E8F" w:rsidP="006C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r w:rsidRPr="006D114E">
        <w:rPr>
          <w:sz w:val="28"/>
          <w:szCs w:val="28"/>
        </w:rPr>
        <w:t>Налице са основания за промяна на тълкуването</w:t>
      </w:r>
      <w:r>
        <w:rPr>
          <w:sz w:val="28"/>
          <w:szCs w:val="28"/>
        </w:rPr>
        <w:t>,</w:t>
      </w:r>
      <w:r w:rsidRPr="006D114E">
        <w:rPr>
          <w:sz w:val="28"/>
          <w:szCs w:val="28"/>
        </w:rPr>
        <w:t xml:space="preserve"> дадено с ТР № 51 от 29.12.1978 г. по н.</w:t>
      </w:r>
      <w:r>
        <w:rPr>
          <w:sz w:val="28"/>
          <w:szCs w:val="28"/>
        </w:rPr>
        <w:t>д. № 50/1978 г. на ОСНК на ВС?</w:t>
      </w:r>
      <w:r w:rsidRPr="006D114E">
        <w:rPr>
          <w:sz w:val="28"/>
          <w:szCs w:val="28"/>
        </w:rPr>
        <w:t xml:space="preserve"> </w:t>
      </w:r>
    </w:p>
    <w:p w:rsidR="006C0E8F" w:rsidRDefault="006C0E8F" w:rsidP="006C0E8F">
      <w:pPr>
        <w:jc w:val="both"/>
        <w:rPr>
          <w:sz w:val="28"/>
          <w:szCs w:val="28"/>
        </w:rPr>
      </w:pPr>
      <w:r w:rsidRPr="006D114E">
        <w:rPr>
          <w:sz w:val="28"/>
          <w:szCs w:val="28"/>
        </w:rPr>
        <w:tab/>
      </w:r>
      <w:r>
        <w:rPr>
          <w:sz w:val="28"/>
          <w:szCs w:val="28"/>
        </w:rPr>
        <w:t xml:space="preserve">Деецът не може да носи </w:t>
      </w:r>
      <w:r w:rsidRPr="006D114E">
        <w:rPr>
          <w:sz w:val="28"/>
          <w:szCs w:val="28"/>
        </w:rPr>
        <w:t>едновременно наказателна и административно</w:t>
      </w:r>
      <w:r w:rsidRPr="006C0E8F">
        <w:rPr>
          <w:b/>
          <w:sz w:val="28"/>
          <w:szCs w:val="28"/>
        </w:rPr>
        <w:t>-</w:t>
      </w:r>
      <w:r w:rsidRPr="006D114E">
        <w:rPr>
          <w:sz w:val="28"/>
          <w:szCs w:val="28"/>
        </w:rPr>
        <w:t xml:space="preserve">наказателна отговорност </w:t>
      </w:r>
      <w:r>
        <w:rPr>
          <w:sz w:val="28"/>
          <w:szCs w:val="28"/>
        </w:rPr>
        <w:t>дори в</w:t>
      </w:r>
      <w:r w:rsidRPr="006D114E">
        <w:rPr>
          <w:sz w:val="28"/>
          <w:szCs w:val="28"/>
        </w:rPr>
        <w:t xml:space="preserve"> случаите, когато с извършеното от него деяние са нарушени едновременно наказателна и административно</w:t>
      </w:r>
      <w:r w:rsidRPr="006C0E8F">
        <w:rPr>
          <w:b/>
          <w:sz w:val="28"/>
          <w:szCs w:val="28"/>
        </w:rPr>
        <w:t>-</w:t>
      </w:r>
      <w:r w:rsidRPr="006D114E">
        <w:rPr>
          <w:sz w:val="28"/>
          <w:szCs w:val="28"/>
        </w:rPr>
        <w:t xml:space="preserve">наказателна норма </w:t>
      </w:r>
      <w:r>
        <w:rPr>
          <w:sz w:val="28"/>
          <w:szCs w:val="28"/>
        </w:rPr>
        <w:t xml:space="preserve">(идеална съвкупност) </w:t>
      </w:r>
      <w:r w:rsidRPr="006D114E">
        <w:rPr>
          <w:sz w:val="28"/>
          <w:szCs w:val="28"/>
        </w:rPr>
        <w:t>с различни обекти на защита</w:t>
      </w:r>
      <w:r>
        <w:rPr>
          <w:sz w:val="28"/>
          <w:szCs w:val="28"/>
        </w:rPr>
        <w:t xml:space="preserve">, тъй като и в двата случая се инкриминират едни и същи факти. Принципът </w:t>
      </w:r>
      <w:r>
        <w:rPr>
          <w:sz w:val="28"/>
          <w:szCs w:val="28"/>
          <w:lang w:val="en-US"/>
        </w:rPr>
        <w:t xml:space="preserve">res </w:t>
      </w:r>
      <w:proofErr w:type="spellStart"/>
      <w:r>
        <w:rPr>
          <w:sz w:val="28"/>
          <w:szCs w:val="28"/>
          <w:lang w:val="en-US"/>
        </w:rPr>
        <w:t>judicata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се прилага относно релевантните факти, като за идентични факти не могат да се водят две различни производства или да се налагат две различни по вид наказания. </w:t>
      </w:r>
      <w:r w:rsidRPr="006D114E">
        <w:rPr>
          <w:sz w:val="28"/>
          <w:szCs w:val="28"/>
        </w:rPr>
        <w:t xml:space="preserve"> </w:t>
      </w:r>
    </w:p>
    <w:p w:rsidR="006C0E8F" w:rsidRPr="00AD1738" w:rsidRDefault="006C0E8F" w:rsidP="006C0E8F">
      <w:pPr>
        <w:jc w:val="both"/>
        <w:rPr>
          <w:b/>
          <w:sz w:val="28"/>
          <w:szCs w:val="28"/>
        </w:rPr>
      </w:pPr>
    </w:p>
    <w:p w:rsidR="006C0E8F" w:rsidRPr="006C0E8F" w:rsidRDefault="006C0E8F" w:rsidP="009B539C">
      <w:pPr>
        <w:jc w:val="both"/>
        <w:rPr>
          <w:sz w:val="25"/>
        </w:rPr>
      </w:pPr>
    </w:p>
    <w:p w:rsidR="006C0E8F" w:rsidRPr="006C0E8F" w:rsidRDefault="006C0E8F" w:rsidP="009B539C">
      <w:pPr>
        <w:jc w:val="both"/>
        <w:rPr>
          <w:sz w:val="25"/>
          <w:lang w:val="en-US"/>
        </w:rPr>
      </w:pPr>
    </w:p>
    <w:p w:rsidR="00D66B1E" w:rsidRDefault="00D66B1E" w:rsidP="00DA5DB5">
      <w:pPr>
        <w:tabs>
          <w:tab w:val="num" w:pos="0"/>
          <w:tab w:val="left" w:pos="180"/>
          <w:tab w:val="left" w:pos="360"/>
        </w:tabs>
        <w:jc w:val="right"/>
        <w:rPr>
          <w:b/>
          <w:sz w:val="25"/>
          <w:szCs w:val="25"/>
          <w:lang w:val="en-US"/>
        </w:rPr>
      </w:pPr>
    </w:p>
    <w:p w:rsidR="000B450D" w:rsidRPr="000B450D" w:rsidRDefault="000B450D" w:rsidP="000B450D">
      <w:pPr>
        <w:ind w:left="4320"/>
        <w:rPr>
          <w:sz w:val="28"/>
          <w:szCs w:val="28"/>
        </w:rPr>
      </w:pPr>
      <w:r w:rsidRPr="000B450D">
        <w:rPr>
          <w:sz w:val="28"/>
          <w:szCs w:val="28"/>
        </w:rPr>
        <w:t>ПРЕДСЕДАТЕЛ НА ВИСШИЯ</w:t>
      </w:r>
    </w:p>
    <w:p w:rsidR="000B450D" w:rsidRDefault="000B450D" w:rsidP="000B450D">
      <w:pPr>
        <w:ind w:left="4320"/>
        <w:rPr>
          <w:sz w:val="28"/>
          <w:szCs w:val="28"/>
        </w:rPr>
      </w:pPr>
      <w:r w:rsidRPr="000B450D">
        <w:rPr>
          <w:sz w:val="28"/>
          <w:szCs w:val="28"/>
        </w:rPr>
        <w:t>АДВОКАТСКИ СЪВЕТ:</w:t>
      </w:r>
    </w:p>
    <w:p w:rsidR="000B450D" w:rsidRPr="000B450D" w:rsidRDefault="000B450D" w:rsidP="000B450D">
      <w:pPr>
        <w:ind w:left="4320"/>
        <w:rPr>
          <w:sz w:val="28"/>
          <w:szCs w:val="28"/>
        </w:rPr>
      </w:pPr>
    </w:p>
    <w:p w:rsidR="000B450D" w:rsidRPr="000B450D" w:rsidRDefault="000B450D" w:rsidP="000B450D">
      <w:pPr>
        <w:ind w:left="4320"/>
        <w:rPr>
          <w:sz w:val="28"/>
          <w:szCs w:val="28"/>
        </w:rPr>
      </w:pPr>
      <w:r w:rsidRPr="000B450D">
        <w:rPr>
          <w:sz w:val="28"/>
          <w:szCs w:val="28"/>
        </w:rPr>
        <w:t xml:space="preserve"> </w:t>
      </w:r>
      <w:r w:rsidRPr="000B450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B450D">
        <w:rPr>
          <w:sz w:val="28"/>
          <w:szCs w:val="28"/>
        </w:rPr>
        <w:t xml:space="preserve">                               </w:t>
      </w:r>
    </w:p>
    <w:p w:rsidR="000B450D" w:rsidRPr="000B450D" w:rsidRDefault="000B450D" w:rsidP="000B450D">
      <w:pPr>
        <w:ind w:left="4320"/>
        <w:rPr>
          <w:sz w:val="28"/>
          <w:szCs w:val="28"/>
        </w:rPr>
      </w:pPr>
      <w:r w:rsidRPr="000B450D">
        <w:rPr>
          <w:sz w:val="28"/>
          <w:szCs w:val="28"/>
        </w:rPr>
        <w:t xml:space="preserve"> </w:t>
      </w:r>
      <w:r w:rsidRPr="000B45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50D">
        <w:rPr>
          <w:sz w:val="28"/>
          <w:szCs w:val="28"/>
        </w:rPr>
        <w:t>РАЛИЦА НЕГЕНЦОВА</w:t>
      </w:r>
    </w:p>
    <w:p w:rsidR="00DA5DB5" w:rsidRPr="006C0E8F" w:rsidRDefault="00DA5DB5" w:rsidP="006C0E8F">
      <w:pPr>
        <w:tabs>
          <w:tab w:val="num" w:pos="0"/>
          <w:tab w:val="left" w:pos="180"/>
          <w:tab w:val="left" w:pos="360"/>
        </w:tabs>
        <w:jc w:val="right"/>
        <w:rPr>
          <w:b/>
          <w:sz w:val="25"/>
          <w:szCs w:val="25"/>
          <w:lang w:val="en-US"/>
        </w:rPr>
      </w:pPr>
      <w:r w:rsidRPr="00F17257">
        <w:rPr>
          <w:b/>
          <w:sz w:val="25"/>
          <w:szCs w:val="25"/>
        </w:rPr>
        <w:tab/>
      </w:r>
    </w:p>
    <w:sectPr w:rsidR="00DA5DB5" w:rsidRPr="006C0E8F" w:rsidSect="00AE2FF9">
      <w:headerReference w:type="default" r:id="rId9"/>
      <w:footerReference w:type="even" r:id="rId10"/>
      <w:footerReference w:type="default" r:id="rId11"/>
      <w:pgSz w:w="11906" w:h="16838"/>
      <w:pgMar w:top="1417" w:right="1133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22" w:rsidRDefault="002B7722">
      <w:r>
        <w:separator/>
      </w:r>
    </w:p>
  </w:endnote>
  <w:endnote w:type="continuationSeparator" w:id="0">
    <w:p w:rsidR="002B7722" w:rsidRDefault="002B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57" w:rsidRDefault="004444B9" w:rsidP="00587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7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257" w:rsidRDefault="00F17257" w:rsidP="00737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57" w:rsidRPr="00737D01" w:rsidRDefault="00F17257" w:rsidP="00737D01">
    <w:pPr>
      <w:pStyle w:val="Footer"/>
      <w:framePr w:w="786" w:wrap="around" w:vAnchor="text" w:hAnchor="page" w:x="9698" w:y="4"/>
      <w:jc w:val="right"/>
      <w:rPr>
        <w:rStyle w:val="PageNumber"/>
        <w:rFonts w:ascii="Times New Roman Bold" w:hAnsi="Times New Roman Bold"/>
        <w:b/>
        <w:i/>
        <w:sz w:val="20"/>
      </w:rPr>
    </w:pPr>
    <w:r w:rsidRPr="00737D01">
      <w:rPr>
        <w:rStyle w:val="PageNumber"/>
        <w:rFonts w:ascii="Times New Roman Bold" w:hAnsi="Times New Roman Bold"/>
        <w:b/>
        <w:i/>
        <w:sz w:val="20"/>
      </w:rPr>
      <w:t xml:space="preserve">- </w:t>
    </w:r>
    <w:r w:rsidR="004444B9" w:rsidRPr="00737D01">
      <w:rPr>
        <w:rStyle w:val="PageNumber"/>
        <w:rFonts w:ascii="Times New Roman Bold" w:hAnsi="Times New Roman Bold"/>
        <w:b/>
        <w:i/>
        <w:sz w:val="20"/>
      </w:rPr>
      <w:fldChar w:fldCharType="begin"/>
    </w:r>
    <w:r w:rsidRPr="00737D01">
      <w:rPr>
        <w:rStyle w:val="PageNumber"/>
        <w:rFonts w:ascii="Times New Roman Bold" w:hAnsi="Times New Roman Bold"/>
        <w:b/>
        <w:i/>
        <w:sz w:val="20"/>
      </w:rPr>
      <w:instrText xml:space="preserve">PAGE  </w:instrText>
    </w:r>
    <w:r w:rsidR="004444B9" w:rsidRPr="00737D01">
      <w:rPr>
        <w:rStyle w:val="PageNumber"/>
        <w:rFonts w:ascii="Times New Roman Bold" w:hAnsi="Times New Roman Bold"/>
        <w:b/>
        <w:i/>
        <w:sz w:val="20"/>
      </w:rPr>
      <w:fldChar w:fldCharType="separate"/>
    </w:r>
    <w:r w:rsidR="006C0E8F">
      <w:rPr>
        <w:rStyle w:val="PageNumber"/>
        <w:rFonts w:ascii="Times New Roman Bold" w:hAnsi="Times New Roman Bold"/>
        <w:b/>
        <w:i/>
        <w:noProof/>
        <w:sz w:val="20"/>
      </w:rPr>
      <w:t>2</w:t>
    </w:r>
    <w:r w:rsidR="004444B9" w:rsidRPr="00737D01">
      <w:rPr>
        <w:rStyle w:val="PageNumber"/>
        <w:rFonts w:ascii="Times New Roman Bold" w:hAnsi="Times New Roman Bold"/>
        <w:b/>
        <w:i/>
        <w:sz w:val="20"/>
      </w:rPr>
      <w:fldChar w:fldCharType="end"/>
    </w:r>
    <w:r w:rsidRPr="00737D01">
      <w:rPr>
        <w:rStyle w:val="PageNumber"/>
        <w:rFonts w:ascii="Times New Roman Bold" w:hAnsi="Times New Roman Bold"/>
        <w:b/>
        <w:i/>
        <w:sz w:val="20"/>
      </w:rPr>
      <w:t xml:space="preserve"> - </w:t>
    </w:r>
  </w:p>
  <w:p w:rsidR="00F17257" w:rsidRDefault="00F17257" w:rsidP="00737D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22" w:rsidRDefault="002B7722">
      <w:r>
        <w:separator/>
      </w:r>
    </w:p>
  </w:footnote>
  <w:footnote w:type="continuationSeparator" w:id="0">
    <w:p w:rsidR="002B7722" w:rsidRDefault="002B7722">
      <w:r>
        <w:continuationSeparator/>
      </w:r>
    </w:p>
  </w:footnote>
  <w:footnote w:id="1">
    <w:p w:rsidR="006C0E8F" w:rsidRDefault="006C0E8F" w:rsidP="006C0E8F">
      <w:pPr>
        <w:pStyle w:val="FootnoteText"/>
      </w:pPr>
      <w:r>
        <w:rPr>
          <w:rStyle w:val="FootnoteReference"/>
        </w:rPr>
        <w:footnoteRef/>
      </w:r>
      <w:r>
        <w:t xml:space="preserve"> Вж. </w:t>
      </w:r>
      <w:r w:rsidRPr="00663746">
        <w:rPr>
          <w:b/>
          <w:i/>
        </w:rPr>
        <w:t>Решение по делото Адолф против Австрия</w:t>
      </w:r>
      <w:r>
        <w:t xml:space="preserve">, от 26 март 1982 § 30   </w:t>
      </w:r>
    </w:p>
  </w:footnote>
  <w:footnote w:id="2">
    <w:p w:rsidR="006C0E8F" w:rsidRPr="00E32A09" w:rsidRDefault="006C0E8F" w:rsidP="006C0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Вж.</w:t>
      </w:r>
      <w:r w:rsidRPr="00E32A09">
        <w:rPr>
          <w:b/>
          <w:sz w:val="28"/>
          <w:szCs w:val="28"/>
        </w:rPr>
        <w:t xml:space="preserve"> </w:t>
      </w:r>
      <w:proofErr w:type="spellStart"/>
      <w:r w:rsidRPr="00E32A09">
        <w:rPr>
          <w:b/>
          <w:i/>
        </w:rPr>
        <w:t>Lutz</w:t>
      </w:r>
      <w:proofErr w:type="spellEnd"/>
      <w:r w:rsidRPr="00E32A09">
        <w:rPr>
          <w:b/>
          <w:i/>
        </w:rPr>
        <w:t xml:space="preserve"> v.</w:t>
      </w:r>
      <w:proofErr w:type="spellStart"/>
      <w:r w:rsidRPr="00E32A09">
        <w:rPr>
          <w:b/>
          <w:i/>
        </w:rPr>
        <w:t>Germany</w:t>
      </w:r>
      <w:proofErr w:type="spellEnd"/>
      <w:r w:rsidRPr="00E32A09">
        <w:t xml:space="preserve"> -§55 от Решение от 25.08.1987 и </w:t>
      </w:r>
      <w:proofErr w:type="spellStart"/>
      <w:r w:rsidRPr="00E32A09">
        <w:rPr>
          <w:b/>
        </w:rPr>
        <w:t>Kadubec</w:t>
      </w:r>
      <w:proofErr w:type="spellEnd"/>
      <w:r w:rsidRPr="00E32A09">
        <w:rPr>
          <w:b/>
        </w:rPr>
        <w:t xml:space="preserve"> v.</w:t>
      </w:r>
      <w:proofErr w:type="spellStart"/>
      <w:r w:rsidRPr="00E32A09">
        <w:rPr>
          <w:b/>
        </w:rPr>
        <w:t>Slovakia</w:t>
      </w:r>
      <w:proofErr w:type="spellEnd"/>
      <w:r w:rsidRPr="00E32A09">
        <w:t xml:space="preserve"> ,Решение 02.09.1998 § 51</w:t>
      </w:r>
    </w:p>
  </w:footnote>
  <w:footnote w:id="3">
    <w:p w:rsidR="006C0E8F" w:rsidRDefault="006C0E8F" w:rsidP="006C0E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Вж. </w:t>
      </w:r>
      <w:r w:rsidRPr="00A67D4F">
        <w:rPr>
          <w:b/>
          <w:i/>
          <w:lang w:val="en-US"/>
        </w:rPr>
        <w:t xml:space="preserve">OAO </w:t>
      </w:r>
      <w:proofErr w:type="spellStart"/>
      <w:r w:rsidRPr="00A67D4F">
        <w:rPr>
          <w:b/>
          <w:i/>
          <w:lang w:val="en-US"/>
        </w:rPr>
        <w:t>Neftyanaya</w:t>
      </w:r>
      <w:proofErr w:type="spellEnd"/>
      <w:r w:rsidRPr="00A67D4F">
        <w:rPr>
          <w:b/>
          <w:i/>
          <w:lang w:val="en-US"/>
        </w:rPr>
        <w:t xml:space="preserve"> </w:t>
      </w:r>
      <w:proofErr w:type="spellStart"/>
      <w:r w:rsidRPr="00A67D4F">
        <w:rPr>
          <w:b/>
          <w:i/>
          <w:lang w:val="en-US"/>
        </w:rPr>
        <w:t>Kompaniya</w:t>
      </w:r>
      <w:proofErr w:type="spellEnd"/>
      <w:r w:rsidRPr="00A67D4F">
        <w:rPr>
          <w:b/>
          <w:i/>
          <w:lang w:val="en-US"/>
        </w:rPr>
        <w:t xml:space="preserve"> </w:t>
      </w:r>
      <w:proofErr w:type="spellStart"/>
      <w:r w:rsidRPr="00A67D4F">
        <w:rPr>
          <w:b/>
          <w:i/>
          <w:lang w:val="en-US"/>
        </w:rPr>
        <w:t>Yukos</w:t>
      </w:r>
      <w:proofErr w:type="spellEnd"/>
      <w:r w:rsidRPr="00A67D4F">
        <w:rPr>
          <w:b/>
          <w:i/>
          <w:lang w:val="en-US"/>
        </w:rPr>
        <w:t xml:space="preserve"> </w:t>
      </w:r>
      <w:proofErr w:type="spellStart"/>
      <w:r w:rsidRPr="00A67D4F">
        <w:rPr>
          <w:b/>
          <w:i/>
          <w:lang w:val="en-US"/>
        </w:rPr>
        <w:t>v.Russia</w:t>
      </w:r>
      <w:proofErr w:type="spellEnd"/>
      <w:r>
        <w:rPr>
          <w:lang w:val="en-US"/>
        </w:rPr>
        <w:t xml:space="preserve"> </w:t>
      </w:r>
      <w:r>
        <w:t xml:space="preserve">( жалба № 14902/ 04) и </w:t>
      </w:r>
      <w:r w:rsidRPr="00A67D4F">
        <w:rPr>
          <w:b/>
          <w:i/>
          <w:lang w:val="en-US"/>
        </w:rPr>
        <w:t>Grande Stevens and others v. Italy</w:t>
      </w:r>
      <w:r>
        <w:rPr>
          <w:lang w:val="en-US"/>
        </w:rPr>
        <w:t xml:space="preserve">  </w:t>
      </w:r>
    </w:p>
    <w:p w:rsidR="006C0E8F" w:rsidRPr="00E80B4F" w:rsidRDefault="006C0E8F" w:rsidP="006C0E8F">
      <w:pPr>
        <w:pStyle w:val="FootnoteText"/>
        <w:rPr>
          <w:lang w:val="en-US"/>
        </w:rPr>
      </w:pPr>
      <w:r>
        <w:rPr>
          <w:lang w:val="en-US"/>
        </w:rPr>
        <w:t xml:space="preserve">( 18640/10,  18647/10, 18663/ 10, 18668/10 </w:t>
      </w:r>
      <w:r>
        <w:t>и</w:t>
      </w:r>
      <w:r>
        <w:rPr>
          <w:lang w:val="en-US"/>
        </w:rPr>
        <w:t xml:space="preserve"> 18</w:t>
      </w:r>
      <w:r>
        <w:t>698/10 )</w:t>
      </w:r>
      <w:r>
        <w:rPr>
          <w:lang w:val="en-US"/>
        </w:rPr>
        <w:t xml:space="preserve">  </w:t>
      </w:r>
    </w:p>
  </w:footnote>
  <w:footnote w:id="4">
    <w:p w:rsidR="006C0E8F" w:rsidRPr="00E32A09" w:rsidRDefault="006C0E8F" w:rsidP="006C0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Вж</w:t>
      </w:r>
      <w:r w:rsidRPr="00E32A09">
        <w:rPr>
          <w:b/>
          <w:i/>
        </w:rPr>
        <w:t>.</w:t>
      </w:r>
      <w:r w:rsidRPr="00E32A09">
        <w:rPr>
          <w:b/>
          <w:i/>
          <w:sz w:val="24"/>
          <w:szCs w:val="24"/>
        </w:rPr>
        <w:t xml:space="preserve"> </w:t>
      </w:r>
      <w:proofErr w:type="spellStart"/>
      <w:r w:rsidRPr="00E32A09">
        <w:rPr>
          <w:b/>
          <w:i/>
        </w:rPr>
        <w:t>Welch</w:t>
      </w:r>
      <w:proofErr w:type="spellEnd"/>
      <w:r w:rsidRPr="00E32A09">
        <w:rPr>
          <w:b/>
          <w:i/>
        </w:rPr>
        <w:t xml:space="preserve"> v.UK</w:t>
      </w:r>
      <w:r w:rsidRPr="00E32A09">
        <w:t>,Решение от 9 февруари 1995 §33-34</w:t>
      </w:r>
    </w:p>
  </w:footnote>
  <w:footnote w:id="5">
    <w:p w:rsidR="006C0E8F" w:rsidRPr="006D4F57" w:rsidRDefault="006C0E8F" w:rsidP="006C0E8F">
      <w:pPr>
        <w:pStyle w:val="FootnoteText"/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>
        <w:t>Вж.</w:t>
      </w:r>
      <w:r>
        <w:rPr>
          <w:lang w:val="en-US"/>
        </w:rPr>
        <w:t xml:space="preserve"> </w:t>
      </w:r>
      <w:r w:rsidRPr="006D4F57">
        <w:rPr>
          <w:b/>
          <w:i/>
        </w:rPr>
        <w:t xml:space="preserve">Енгел и др. </w:t>
      </w:r>
      <w:r>
        <w:rPr>
          <w:b/>
          <w:i/>
        </w:rPr>
        <w:t>п</w:t>
      </w:r>
      <w:r w:rsidRPr="006D4F57">
        <w:rPr>
          <w:b/>
          <w:i/>
        </w:rPr>
        <w:t>ротив Холандия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57" w:rsidRPr="00737D01" w:rsidRDefault="00F17257" w:rsidP="00737D01">
    <w:pPr>
      <w:pStyle w:val="Header"/>
      <w:pBdr>
        <w:bottom w:val="single" w:sz="6" w:space="1" w:color="auto"/>
      </w:pBdr>
      <w:jc w:val="center"/>
      <w:rPr>
        <w:i/>
        <w:sz w:val="10"/>
      </w:rPr>
    </w:pPr>
  </w:p>
  <w:p w:rsidR="00F17257" w:rsidRDefault="00326537" w:rsidP="00737D01">
    <w:pPr>
      <w:pStyle w:val="Header"/>
      <w:pBdr>
        <w:bottom w:val="single" w:sz="6" w:space="1" w:color="auto"/>
      </w:pBdr>
      <w:jc w:val="center"/>
      <w:rPr>
        <w:i/>
        <w:sz w:val="18"/>
      </w:rPr>
    </w:pPr>
    <w:r>
      <w:rPr>
        <w:i/>
        <w:sz w:val="18"/>
      </w:rPr>
      <w:t>Становище</w:t>
    </w:r>
    <w:r w:rsidR="00F17257" w:rsidRPr="00737D01">
      <w:rPr>
        <w:i/>
        <w:sz w:val="18"/>
      </w:rPr>
      <w:t xml:space="preserve"> на Висшия адвокатски съвет</w:t>
    </w:r>
    <w:r w:rsidR="00F17257">
      <w:rPr>
        <w:i/>
        <w:sz w:val="18"/>
      </w:rPr>
      <w:t xml:space="preserve"> </w:t>
    </w:r>
    <w:r>
      <w:rPr>
        <w:i/>
        <w:sz w:val="18"/>
      </w:rPr>
      <w:t xml:space="preserve">по тълкувателно дело № </w:t>
    </w:r>
    <w:r w:rsidR="006C0E8F">
      <w:rPr>
        <w:i/>
        <w:sz w:val="18"/>
        <w:lang w:val="en-US"/>
      </w:rPr>
      <w:t>3</w:t>
    </w:r>
    <w:r w:rsidR="000B450D">
      <w:rPr>
        <w:i/>
        <w:sz w:val="18"/>
      </w:rPr>
      <w:t xml:space="preserve"> / 2015 г. на ОСН</w:t>
    </w:r>
    <w:r w:rsidR="00F17257" w:rsidRPr="00737D01">
      <w:rPr>
        <w:i/>
        <w:sz w:val="18"/>
      </w:rPr>
      <w:t>К на ВКС</w:t>
    </w:r>
  </w:p>
  <w:p w:rsidR="00F17257" w:rsidRPr="00737D01" w:rsidRDefault="00F17257" w:rsidP="00737D01">
    <w:pPr>
      <w:pStyle w:val="Header"/>
      <w:pBdr>
        <w:bottom w:val="single" w:sz="6" w:space="1" w:color="auto"/>
      </w:pBdr>
      <w:jc w:val="center"/>
      <w:rPr>
        <w:i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48"/>
    <w:multiLevelType w:val="hybridMultilevel"/>
    <w:tmpl w:val="99EC660A"/>
    <w:lvl w:ilvl="0" w:tplc="52D885A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4804EA5"/>
    <w:multiLevelType w:val="hybridMultilevel"/>
    <w:tmpl w:val="A96C46F6"/>
    <w:lvl w:ilvl="0" w:tplc="1D6E7472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7D82223"/>
    <w:multiLevelType w:val="hybridMultilevel"/>
    <w:tmpl w:val="E16C8912"/>
    <w:lvl w:ilvl="0" w:tplc="7826E2D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A6661F"/>
    <w:multiLevelType w:val="hybridMultilevel"/>
    <w:tmpl w:val="0678624C"/>
    <w:lvl w:ilvl="0" w:tplc="66E03D7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B22AC5"/>
    <w:multiLevelType w:val="multilevel"/>
    <w:tmpl w:val="E63633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5">
    <w:nsid w:val="0F7E11E0"/>
    <w:multiLevelType w:val="hybridMultilevel"/>
    <w:tmpl w:val="FBCED73A"/>
    <w:lvl w:ilvl="0" w:tplc="F30CCF0E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AF31653"/>
    <w:multiLevelType w:val="multilevel"/>
    <w:tmpl w:val="42DC6B2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>
    <w:nsid w:val="22000F4C"/>
    <w:multiLevelType w:val="multilevel"/>
    <w:tmpl w:val="7188EB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8">
    <w:nsid w:val="289D57D2"/>
    <w:multiLevelType w:val="hybridMultilevel"/>
    <w:tmpl w:val="211238CA"/>
    <w:lvl w:ilvl="0" w:tplc="50BEDA9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F5A4D6C"/>
    <w:multiLevelType w:val="multilevel"/>
    <w:tmpl w:val="EDD461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36354AA5"/>
    <w:multiLevelType w:val="hybridMultilevel"/>
    <w:tmpl w:val="011CE02C"/>
    <w:lvl w:ilvl="0" w:tplc="F392CD2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D3A1744"/>
    <w:multiLevelType w:val="multilevel"/>
    <w:tmpl w:val="7188EB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2">
    <w:nsid w:val="41E1101A"/>
    <w:multiLevelType w:val="hybridMultilevel"/>
    <w:tmpl w:val="41F23510"/>
    <w:lvl w:ilvl="0" w:tplc="5B86B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A585722"/>
    <w:multiLevelType w:val="multilevel"/>
    <w:tmpl w:val="A30A2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4">
    <w:nsid w:val="725B5F09"/>
    <w:multiLevelType w:val="hybridMultilevel"/>
    <w:tmpl w:val="1322603C"/>
    <w:lvl w:ilvl="0" w:tplc="D632C292">
      <w:start w:val="3"/>
      <w:numFmt w:val="bullet"/>
      <w:lvlText w:val=""/>
      <w:lvlJc w:val="left"/>
      <w:pPr>
        <w:tabs>
          <w:tab w:val="num" w:pos="1410"/>
        </w:tabs>
        <w:ind w:left="1410" w:hanging="42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2AA400D"/>
    <w:multiLevelType w:val="multilevel"/>
    <w:tmpl w:val="567406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6">
    <w:nsid w:val="7F2158A2"/>
    <w:multiLevelType w:val="hybridMultilevel"/>
    <w:tmpl w:val="CDC0B64A"/>
    <w:lvl w:ilvl="0" w:tplc="673CCB1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81C"/>
    <w:rsid w:val="0000506A"/>
    <w:rsid w:val="00007C4F"/>
    <w:rsid w:val="0001021D"/>
    <w:rsid w:val="00011786"/>
    <w:rsid w:val="00013D1B"/>
    <w:rsid w:val="000215C9"/>
    <w:rsid w:val="000249C0"/>
    <w:rsid w:val="000327AA"/>
    <w:rsid w:val="0004075C"/>
    <w:rsid w:val="000447FC"/>
    <w:rsid w:val="00044A89"/>
    <w:rsid w:val="000451FB"/>
    <w:rsid w:val="00046E03"/>
    <w:rsid w:val="000545E0"/>
    <w:rsid w:val="00054E9A"/>
    <w:rsid w:val="00066280"/>
    <w:rsid w:val="00071271"/>
    <w:rsid w:val="000807B0"/>
    <w:rsid w:val="00083783"/>
    <w:rsid w:val="00084006"/>
    <w:rsid w:val="00084E75"/>
    <w:rsid w:val="00087672"/>
    <w:rsid w:val="000927AA"/>
    <w:rsid w:val="0009746B"/>
    <w:rsid w:val="000A2C86"/>
    <w:rsid w:val="000B1835"/>
    <w:rsid w:val="000B3CB3"/>
    <w:rsid w:val="000B3D0E"/>
    <w:rsid w:val="000B450D"/>
    <w:rsid w:val="000B60EB"/>
    <w:rsid w:val="000C2684"/>
    <w:rsid w:val="000C3AEA"/>
    <w:rsid w:val="000D454D"/>
    <w:rsid w:val="000E581E"/>
    <w:rsid w:val="000E61DD"/>
    <w:rsid w:val="000E6546"/>
    <w:rsid w:val="000F5445"/>
    <w:rsid w:val="001041E9"/>
    <w:rsid w:val="00114BDA"/>
    <w:rsid w:val="00114FC4"/>
    <w:rsid w:val="001207F9"/>
    <w:rsid w:val="00122757"/>
    <w:rsid w:val="00123D11"/>
    <w:rsid w:val="00127E08"/>
    <w:rsid w:val="00146427"/>
    <w:rsid w:val="00150C29"/>
    <w:rsid w:val="00157BD6"/>
    <w:rsid w:val="001748D5"/>
    <w:rsid w:val="0017532D"/>
    <w:rsid w:val="00186351"/>
    <w:rsid w:val="00187A82"/>
    <w:rsid w:val="00193362"/>
    <w:rsid w:val="001A06D6"/>
    <w:rsid w:val="001A6105"/>
    <w:rsid w:val="001A6A70"/>
    <w:rsid w:val="001B2FE9"/>
    <w:rsid w:val="001B52E6"/>
    <w:rsid w:val="001C06C9"/>
    <w:rsid w:val="001C7F73"/>
    <w:rsid w:val="001D09F2"/>
    <w:rsid w:val="001D1056"/>
    <w:rsid w:val="001D448A"/>
    <w:rsid w:val="001D703C"/>
    <w:rsid w:val="001E1117"/>
    <w:rsid w:val="001E587C"/>
    <w:rsid w:val="001E6A15"/>
    <w:rsid w:val="001E6FE4"/>
    <w:rsid w:val="001F2DC7"/>
    <w:rsid w:val="002027F3"/>
    <w:rsid w:val="00202AB4"/>
    <w:rsid w:val="0021221D"/>
    <w:rsid w:val="00216EA3"/>
    <w:rsid w:val="002363E8"/>
    <w:rsid w:val="00241DC3"/>
    <w:rsid w:val="00252E61"/>
    <w:rsid w:val="00253348"/>
    <w:rsid w:val="00257E90"/>
    <w:rsid w:val="00267FC9"/>
    <w:rsid w:val="00272867"/>
    <w:rsid w:val="00272B61"/>
    <w:rsid w:val="00274626"/>
    <w:rsid w:val="0027663D"/>
    <w:rsid w:val="00280EA5"/>
    <w:rsid w:val="002811BB"/>
    <w:rsid w:val="002818CE"/>
    <w:rsid w:val="002856A1"/>
    <w:rsid w:val="002871BA"/>
    <w:rsid w:val="002905C5"/>
    <w:rsid w:val="002907EB"/>
    <w:rsid w:val="002A106E"/>
    <w:rsid w:val="002A2712"/>
    <w:rsid w:val="002A5077"/>
    <w:rsid w:val="002A6211"/>
    <w:rsid w:val="002A6EFF"/>
    <w:rsid w:val="002B0510"/>
    <w:rsid w:val="002B3475"/>
    <w:rsid w:val="002B4B06"/>
    <w:rsid w:val="002B59B2"/>
    <w:rsid w:val="002B6285"/>
    <w:rsid w:val="002B6C2A"/>
    <w:rsid w:val="002B7722"/>
    <w:rsid w:val="002B7D45"/>
    <w:rsid w:val="002C2F6C"/>
    <w:rsid w:val="002C4975"/>
    <w:rsid w:val="002E05C6"/>
    <w:rsid w:val="002E1B7B"/>
    <w:rsid w:val="002E3285"/>
    <w:rsid w:val="002F6A1F"/>
    <w:rsid w:val="00305D62"/>
    <w:rsid w:val="00306D0F"/>
    <w:rsid w:val="003125DE"/>
    <w:rsid w:val="00313185"/>
    <w:rsid w:val="003217E2"/>
    <w:rsid w:val="00326537"/>
    <w:rsid w:val="00327EAE"/>
    <w:rsid w:val="0033164E"/>
    <w:rsid w:val="00331F25"/>
    <w:rsid w:val="00333CAE"/>
    <w:rsid w:val="00335007"/>
    <w:rsid w:val="003370B0"/>
    <w:rsid w:val="00342006"/>
    <w:rsid w:val="00343F7C"/>
    <w:rsid w:val="00344A46"/>
    <w:rsid w:val="00352562"/>
    <w:rsid w:val="003717E6"/>
    <w:rsid w:val="00373F5C"/>
    <w:rsid w:val="0038334B"/>
    <w:rsid w:val="00384EB3"/>
    <w:rsid w:val="003856EC"/>
    <w:rsid w:val="00393210"/>
    <w:rsid w:val="00394AB8"/>
    <w:rsid w:val="003A4A27"/>
    <w:rsid w:val="003A659D"/>
    <w:rsid w:val="003B1592"/>
    <w:rsid w:val="003B1A1C"/>
    <w:rsid w:val="003B60B1"/>
    <w:rsid w:val="003C0008"/>
    <w:rsid w:val="003C3DA2"/>
    <w:rsid w:val="003C7256"/>
    <w:rsid w:val="003C7A0A"/>
    <w:rsid w:val="003D5007"/>
    <w:rsid w:val="003E3595"/>
    <w:rsid w:val="004022A6"/>
    <w:rsid w:val="004210D7"/>
    <w:rsid w:val="004218CE"/>
    <w:rsid w:val="00435E45"/>
    <w:rsid w:val="00441467"/>
    <w:rsid w:val="00442B59"/>
    <w:rsid w:val="004444B9"/>
    <w:rsid w:val="00447B24"/>
    <w:rsid w:val="004514C3"/>
    <w:rsid w:val="00452339"/>
    <w:rsid w:val="00456637"/>
    <w:rsid w:val="00476E54"/>
    <w:rsid w:val="00485025"/>
    <w:rsid w:val="00487862"/>
    <w:rsid w:val="004972E1"/>
    <w:rsid w:val="004A0F4F"/>
    <w:rsid w:val="004A14CA"/>
    <w:rsid w:val="004A21AD"/>
    <w:rsid w:val="004A4EEC"/>
    <w:rsid w:val="004B1A9A"/>
    <w:rsid w:val="004B21F7"/>
    <w:rsid w:val="004C6F7B"/>
    <w:rsid w:val="004E0684"/>
    <w:rsid w:val="004F40F3"/>
    <w:rsid w:val="00513340"/>
    <w:rsid w:val="00515F6F"/>
    <w:rsid w:val="00517B2C"/>
    <w:rsid w:val="00521E63"/>
    <w:rsid w:val="00522A12"/>
    <w:rsid w:val="005247BF"/>
    <w:rsid w:val="00540223"/>
    <w:rsid w:val="0054519B"/>
    <w:rsid w:val="005511F1"/>
    <w:rsid w:val="005570D6"/>
    <w:rsid w:val="00565AED"/>
    <w:rsid w:val="00572A20"/>
    <w:rsid w:val="005732EF"/>
    <w:rsid w:val="00587136"/>
    <w:rsid w:val="005960DA"/>
    <w:rsid w:val="005968B5"/>
    <w:rsid w:val="005A2F16"/>
    <w:rsid w:val="005A54CD"/>
    <w:rsid w:val="005A5FA8"/>
    <w:rsid w:val="005B6FC1"/>
    <w:rsid w:val="005C760F"/>
    <w:rsid w:val="005D29A3"/>
    <w:rsid w:val="005D393E"/>
    <w:rsid w:val="005E6251"/>
    <w:rsid w:val="005E76FB"/>
    <w:rsid w:val="006071C2"/>
    <w:rsid w:val="00616DAD"/>
    <w:rsid w:val="00623D86"/>
    <w:rsid w:val="00640ADE"/>
    <w:rsid w:val="00642FB0"/>
    <w:rsid w:val="00651A91"/>
    <w:rsid w:val="00652C61"/>
    <w:rsid w:val="00652CF4"/>
    <w:rsid w:val="0065553F"/>
    <w:rsid w:val="006563C9"/>
    <w:rsid w:val="00656D74"/>
    <w:rsid w:val="006572FB"/>
    <w:rsid w:val="0066553D"/>
    <w:rsid w:val="006656F3"/>
    <w:rsid w:val="00665D4C"/>
    <w:rsid w:val="00666F38"/>
    <w:rsid w:val="00667DEE"/>
    <w:rsid w:val="00675F3D"/>
    <w:rsid w:val="00694834"/>
    <w:rsid w:val="006A28D2"/>
    <w:rsid w:val="006A6C61"/>
    <w:rsid w:val="006C0E8F"/>
    <w:rsid w:val="006C6AB7"/>
    <w:rsid w:val="006C6CA3"/>
    <w:rsid w:val="006C6F32"/>
    <w:rsid w:val="006D6229"/>
    <w:rsid w:val="006E4AE6"/>
    <w:rsid w:val="006F2F93"/>
    <w:rsid w:val="006F620A"/>
    <w:rsid w:val="006F6730"/>
    <w:rsid w:val="00700FB6"/>
    <w:rsid w:val="007257D2"/>
    <w:rsid w:val="00725F84"/>
    <w:rsid w:val="00737561"/>
    <w:rsid w:val="00737D01"/>
    <w:rsid w:val="00742C4D"/>
    <w:rsid w:val="00762A97"/>
    <w:rsid w:val="007832BC"/>
    <w:rsid w:val="007854A0"/>
    <w:rsid w:val="0078671E"/>
    <w:rsid w:val="007922BD"/>
    <w:rsid w:val="0079263F"/>
    <w:rsid w:val="00794972"/>
    <w:rsid w:val="007A247B"/>
    <w:rsid w:val="007A24F8"/>
    <w:rsid w:val="007B1C92"/>
    <w:rsid w:val="007C1A8D"/>
    <w:rsid w:val="007C1D9A"/>
    <w:rsid w:val="007D0BED"/>
    <w:rsid w:val="007D392B"/>
    <w:rsid w:val="007D3C51"/>
    <w:rsid w:val="007D43F5"/>
    <w:rsid w:val="007E5486"/>
    <w:rsid w:val="007E6687"/>
    <w:rsid w:val="007F55A1"/>
    <w:rsid w:val="007F6159"/>
    <w:rsid w:val="007F72C5"/>
    <w:rsid w:val="00804680"/>
    <w:rsid w:val="00804F18"/>
    <w:rsid w:val="008110E9"/>
    <w:rsid w:val="008111D3"/>
    <w:rsid w:val="00811725"/>
    <w:rsid w:val="0081716C"/>
    <w:rsid w:val="00822666"/>
    <w:rsid w:val="00825E52"/>
    <w:rsid w:val="0082635D"/>
    <w:rsid w:val="008337FF"/>
    <w:rsid w:val="0083659B"/>
    <w:rsid w:val="00840323"/>
    <w:rsid w:val="00845C85"/>
    <w:rsid w:val="0085437D"/>
    <w:rsid w:val="0085499C"/>
    <w:rsid w:val="00855D8F"/>
    <w:rsid w:val="00870532"/>
    <w:rsid w:val="008705D5"/>
    <w:rsid w:val="00872CC0"/>
    <w:rsid w:val="00876273"/>
    <w:rsid w:val="00880F5D"/>
    <w:rsid w:val="00885E68"/>
    <w:rsid w:val="00891EB0"/>
    <w:rsid w:val="008924A0"/>
    <w:rsid w:val="00895FF6"/>
    <w:rsid w:val="00896BF4"/>
    <w:rsid w:val="008A5090"/>
    <w:rsid w:val="008B4081"/>
    <w:rsid w:val="008C1CB7"/>
    <w:rsid w:val="008D203C"/>
    <w:rsid w:val="008D3E60"/>
    <w:rsid w:val="008E0B1B"/>
    <w:rsid w:val="008E2C4D"/>
    <w:rsid w:val="008E6600"/>
    <w:rsid w:val="008F37F3"/>
    <w:rsid w:val="00902FB9"/>
    <w:rsid w:val="00907CE6"/>
    <w:rsid w:val="00922DDF"/>
    <w:rsid w:val="009237B9"/>
    <w:rsid w:val="0092560C"/>
    <w:rsid w:val="009269E2"/>
    <w:rsid w:val="00945F04"/>
    <w:rsid w:val="00950462"/>
    <w:rsid w:val="0095608A"/>
    <w:rsid w:val="009629D6"/>
    <w:rsid w:val="00970419"/>
    <w:rsid w:val="009716E6"/>
    <w:rsid w:val="00973981"/>
    <w:rsid w:val="00977514"/>
    <w:rsid w:val="00980B39"/>
    <w:rsid w:val="00980E1E"/>
    <w:rsid w:val="009811B1"/>
    <w:rsid w:val="009929AA"/>
    <w:rsid w:val="00996C78"/>
    <w:rsid w:val="009970C1"/>
    <w:rsid w:val="009A5470"/>
    <w:rsid w:val="009B1F6E"/>
    <w:rsid w:val="009B2E00"/>
    <w:rsid w:val="009B539C"/>
    <w:rsid w:val="009C7DD3"/>
    <w:rsid w:val="009D519A"/>
    <w:rsid w:val="009D5DAB"/>
    <w:rsid w:val="009E2F7A"/>
    <w:rsid w:val="009E79FF"/>
    <w:rsid w:val="009F3C84"/>
    <w:rsid w:val="009F6442"/>
    <w:rsid w:val="009F7406"/>
    <w:rsid w:val="00A05986"/>
    <w:rsid w:val="00A12180"/>
    <w:rsid w:val="00A1307E"/>
    <w:rsid w:val="00A2470C"/>
    <w:rsid w:val="00A260EC"/>
    <w:rsid w:val="00A411C1"/>
    <w:rsid w:val="00A41875"/>
    <w:rsid w:val="00A465FD"/>
    <w:rsid w:val="00A46FF6"/>
    <w:rsid w:val="00A5250C"/>
    <w:rsid w:val="00A54676"/>
    <w:rsid w:val="00A547F3"/>
    <w:rsid w:val="00A550AD"/>
    <w:rsid w:val="00A57928"/>
    <w:rsid w:val="00A6484C"/>
    <w:rsid w:val="00A70D1D"/>
    <w:rsid w:val="00A7397F"/>
    <w:rsid w:val="00A74E4B"/>
    <w:rsid w:val="00A93D18"/>
    <w:rsid w:val="00A94BAC"/>
    <w:rsid w:val="00AA1F60"/>
    <w:rsid w:val="00AB4635"/>
    <w:rsid w:val="00AB7752"/>
    <w:rsid w:val="00AC06D1"/>
    <w:rsid w:val="00AC307A"/>
    <w:rsid w:val="00AC6416"/>
    <w:rsid w:val="00AC7D68"/>
    <w:rsid w:val="00AD2BFA"/>
    <w:rsid w:val="00AD3B18"/>
    <w:rsid w:val="00AD5463"/>
    <w:rsid w:val="00AD69F6"/>
    <w:rsid w:val="00AE0BCE"/>
    <w:rsid w:val="00AE1AA5"/>
    <w:rsid w:val="00AE2FF9"/>
    <w:rsid w:val="00AE45BB"/>
    <w:rsid w:val="00AE4C7F"/>
    <w:rsid w:val="00AE7A01"/>
    <w:rsid w:val="00AF01E7"/>
    <w:rsid w:val="00AF1B3A"/>
    <w:rsid w:val="00AF1B49"/>
    <w:rsid w:val="00AF3057"/>
    <w:rsid w:val="00B0590B"/>
    <w:rsid w:val="00B10D34"/>
    <w:rsid w:val="00B15B45"/>
    <w:rsid w:val="00B20593"/>
    <w:rsid w:val="00B22832"/>
    <w:rsid w:val="00B245A3"/>
    <w:rsid w:val="00B24A09"/>
    <w:rsid w:val="00B27166"/>
    <w:rsid w:val="00B30780"/>
    <w:rsid w:val="00B3142E"/>
    <w:rsid w:val="00B35247"/>
    <w:rsid w:val="00B422B7"/>
    <w:rsid w:val="00B530B0"/>
    <w:rsid w:val="00B54F60"/>
    <w:rsid w:val="00B64F07"/>
    <w:rsid w:val="00B65826"/>
    <w:rsid w:val="00B706A6"/>
    <w:rsid w:val="00B771A0"/>
    <w:rsid w:val="00B77CE8"/>
    <w:rsid w:val="00B8474C"/>
    <w:rsid w:val="00B90537"/>
    <w:rsid w:val="00B94681"/>
    <w:rsid w:val="00B94BA6"/>
    <w:rsid w:val="00BA15A3"/>
    <w:rsid w:val="00BA5CA6"/>
    <w:rsid w:val="00BA6367"/>
    <w:rsid w:val="00BB1895"/>
    <w:rsid w:val="00BC6C40"/>
    <w:rsid w:val="00BD4832"/>
    <w:rsid w:val="00BD4847"/>
    <w:rsid w:val="00BD6F86"/>
    <w:rsid w:val="00BE7269"/>
    <w:rsid w:val="00BF5C82"/>
    <w:rsid w:val="00C04AE7"/>
    <w:rsid w:val="00C107E3"/>
    <w:rsid w:val="00C11252"/>
    <w:rsid w:val="00C14937"/>
    <w:rsid w:val="00C25B85"/>
    <w:rsid w:val="00C2778E"/>
    <w:rsid w:val="00C32EFD"/>
    <w:rsid w:val="00C40DE3"/>
    <w:rsid w:val="00C40EDD"/>
    <w:rsid w:val="00C5296D"/>
    <w:rsid w:val="00C5585D"/>
    <w:rsid w:val="00C56A60"/>
    <w:rsid w:val="00C6330C"/>
    <w:rsid w:val="00C643F3"/>
    <w:rsid w:val="00C663FB"/>
    <w:rsid w:val="00C670FF"/>
    <w:rsid w:val="00C674F7"/>
    <w:rsid w:val="00C86909"/>
    <w:rsid w:val="00C86FAF"/>
    <w:rsid w:val="00C90252"/>
    <w:rsid w:val="00CC0FF3"/>
    <w:rsid w:val="00CC3B4D"/>
    <w:rsid w:val="00CC3F30"/>
    <w:rsid w:val="00CC6C27"/>
    <w:rsid w:val="00CD3567"/>
    <w:rsid w:val="00CE0FD9"/>
    <w:rsid w:val="00CE66C9"/>
    <w:rsid w:val="00D04E31"/>
    <w:rsid w:val="00D15202"/>
    <w:rsid w:val="00D22383"/>
    <w:rsid w:val="00D34667"/>
    <w:rsid w:val="00D4299B"/>
    <w:rsid w:val="00D46B03"/>
    <w:rsid w:val="00D55449"/>
    <w:rsid w:val="00D57E2D"/>
    <w:rsid w:val="00D66B1E"/>
    <w:rsid w:val="00D82344"/>
    <w:rsid w:val="00D87E28"/>
    <w:rsid w:val="00D91CC7"/>
    <w:rsid w:val="00D942F0"/>
    <w:rsid w:val="00DA329B"/>
    <w:rsid w:val="00DA5893"/>
    <w:rsid w:val="00DA5C54"/>
    <w:rsid w:val="00DA5DB5"/>
    <w:rsid w:val="00DA6022"/>
    <w:rsid w:val="00DA7710"/>
    <w:rsid w:val="00DB314C"/>
    <w:rsid w:val="00DB59AF"/>
    <w:rsid w:val="00DC39B5"/>
    <w:rsid w:val="00DC54F1"/>
    <w:rsid w:val="00DD7616"/>
    <w:rsid w:val="00DD7B52"/>
    <w:rsid w:val="00E130CF"/>
    <w:rsid w:val="00E174A1"/>
    <w:rsid w:val="00E31695"/>
    <w:rsid w:val="00E37BFF"/>
    <w:rsid w:val="00E467D2"/>
    <w:rsid w:val="00E51A2E"/>
    <w:rsid w:val="00E52177"/>
    <w:rsid w:val="00E52D18"/>
    <w:rsid w:val="00E559DE"/>
    <w:rsid w:val="00E6032F"/>
    <w:rsid w:val="00E6148C"/>
    <w:rsid w:val="00E63297"/>
    <w:rsid w:val="00E7354D"/>
    <w:rsid w:val="00E73BF0"/>
    <w:rsid w:val="00E83E1F"/>
    <w:rsid w:val="00E84CB0"/>
    <w:rsid w:val="00E91D6A"/>
    <w:rsid w:val="00E9269D"/>
    <w:rsid w:val="00E94D57"/>
    <w:rsid w:val="00EC11AE"/>
    <w:rsid w:val="00ED49F5"/>
    <w:rsid w:val="00ED5805"/>
    <w:rsid w:val="00ED693B"/>
    <w:rsid w:val="00EE043B"/>
    <w:rsid w:val="00EE587C"/>
    <w:rsid w:val="00EF026F"/>
    <w:rsid w:val="00EF179F"/>
    <w:rsid w:val="00EF2774"/>
    <w:rsid w:val="00F0127C"/>
    <w:rsid w:val="00F10BB9"/>
    <w:rsid w:val="00F130E1"/>
    <w:rsid w:val="00F1317A"/>
    <w:rsid w:val="00F17257"/>
    <w:rsid w:val="00F24032"/>
    <w:rsid w:val="00F34BEB"/>
    <w:rsid w:val="00F35277"/>
    <w:rsid w:val="00F3576F"/>
    <w:rsid w:val="00F36DF9"/>
    <w:rsid w:val="00F408C5"/>
    <w:rsid w:val="00F438BE"/>
    <w:rsid w:val="00F43AEF"/>
    <w:rsid w:val="00F468E3"/>
    <w:rsid w:val="00F46DF9"/>
    <w:rsid w:val="00F51DE1"/>
    <w:rsid w:val="00F55D1C"/>
    <w:rsid w:val="00F5642A"/>
    <w:rsid w:val="00F570E5"/>
    <w:rsid w:val="00F57F1B"/>
    <w:rsid w:val="00F609C5"/>
    <w:rsid w:val="00F61F9B"/>
    <w:rsid w:val="00F70DB6"/>
    <w:rsid w:val="00F72924"/>
    <w:rsid w:val="00F86CF3"/>
    <w:rsid w:val="00FA3C1A"/>
    <w:rsid w:val="00FA513D"/>
    <w:rsid w:val="00FA79FC"/>
    <w:rsid w:val="00FB22C5"/>
    <w:rsid w:val="00FB3275"/>
    <w:rsid w:val="00FB681C"/>
    <w:rsid w:val="00FB7BF0"/>
    <w:rsid w:val="00FC11AD"/>
    <w:rsid w:val="00FE3248"/>
    <w:rsid w:val="00FF2025"/>
    <w:rsid w:val="00FF495F"/>
    <w:rsid w:val="00FF56F6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F1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554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55449"/>
    <w:rPr>
      <w:vertAlign w:val="superscript"/>
    </w:rPr>
  </w:style>
  <w:style w:type="character" w:customStyle="1" w:styleId="legaldocreference1">
    <w:name w:val="legaldocreference1"/>
    <w:basedOn w:val="DefaultParagraphFont"/>
    <w:rsid w:val="00700FB6"/>
    <w:rPr>
      <w:i w:val="0"/>
      <w:iCs w:val="0"/>
      <w:color w:val="840084"/>
      <w:u w:val="single"/>
    </w:rPr>
  </w:style>
  <w:style w:type="paragraph" w:styleId="NoSpacing">
    <w:name w:val="No Spacing"/>
    <w:qFormat/>
    <w:rsid w:val="00BA6367"/>
    <w:rPr>
      <w:rFonts w:ascii="Calibri" w:eastAsia="Calibri" w:hAnsi="Calibri"/>
      <w:sz w:val="22"/>
      <w:szCs w:val="22"/>
      <w:lang w:val="bg-BG"/>
    </w:rPr>
  </w:style>
  <w:style w:type="paragraph" w:styleId="BodyText3">
    <w:name w:val="Body Text 3"/>
    <w:basedOn w:val="Normal"/>
    <w:rsid w:val="00E94D5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675F3D"/>
    <w:pPr>
      <w:spacing w:after="120" w:line="480" w:lineRule="auto"/>
    </w:pPr>
  </w:style>
  <w:style w:type="paragraph" w:styleId="Footer">
    <w:name w:val="footer"/>
    <w:basedOn w:val="Normal"/>
    <w:rsid w:val="00737D0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7D01"/>
  </w:style>
  <w:style w:type="paragraph" w:styleId="Header">
    <w:name w:val="header"/>
    <w:basedOn w:val="Normal"/>
    <w:rsid w:val="00737D0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22757"/>
    <w:rPr>
      <w:color w:val="0000FF"/>
      <w:u w:val="single"/>
    </w:rPr>
  </w:style>
  <w:style w:type="paragraph" w:styleId="NormalWeb">
    <w:name w:val="Normal (Web)"/>
    <w:basedOn w:val="Normal"/>
    <w:rsid w:val="00DA5C54"/>
    <w:pPr>
      <w:ind w:firstLine="411"/>
      <w:jc w:val="both"/>
    </w:pPr>
    <w:rPr>
      <w:color w:val="000000"/>
    </w:rPr>
  </w:style>
  <w:style w:type="character" w:customStyle="1" w:styleId="ldef1">
    <w:name w:val="ldef1"/>
    <w:basedOn w:val="DefaultParagraphFont"/>
    <w:rsid w:val="00B94BA6"/>
    <w:rPr>
      <w:rFonts w:ascii="Times New Roman" w:hAnsi="Times New Roman" w:cs="Times New Roman" w:hint="default"/>
      <w:color w:val="000000"/>
      <w:sz w:val="30"/>
      <w:szCs w:val="30"/>
    </w:rPr>
  </w:style>
  <w:style w:type="paragraph" w:customStyle="1" w:styleId="Char">
    <w:name w:val="Char"/>
    <w:basedOn w:val="Normal"/>
    <w:next w:val="Normal"/>
    <w:semiHidden/>
    <w:rsid w:val="006C0E8F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489">
          <w:marLeft w:val="0"/>
          <w:marRight w:val="0"/>
          <w:marTop w:val="62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390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630">
          <w:marLeft w:val="0"/>
          <w:marRight w:val="0"/>
          <w:marTop w:val="62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498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82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arch@va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home</Company>
  <LinksUpToDate>false</LinksUpToDate>
  <CharactersWithSpaces>15968</CharactersWithSpaces>
  <SharedDoc>false</SharedDoc>
  <HLinks>
    <vt:vector size="6" baseType="variant"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mailto:e-mail:%20arch@vas.bg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bagita</dc:creator>
  <cp:keywords/>
  <dc:description/>
  <cp:lastModifiedBy>User</cp:lastModifiedBy>
  <cp:revision>2</cp:revision>
  <cp:lastPrinted>2015-06-23T12:10:00Z</cp:lastPrinted>
  <dcterms:created xsi:type="dcterms:W3CDTF">2015-06-23T12:14:00Z</dcterms:created>
  <dcterms:modified xsi:type="dcterms:W3CDTF">2015-06-23T12:14:00Z</dcterms:modified>
</cp:coreProperties>
</file>